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rPr>
          <w:color w:val="auto"/>
          <w:highlight w:val="none"/>
        </w:rPr>
      </w:pPr>
      <w:r>
        <w:rPr>
          <w:color w:val="auto"/>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lang w:eastAsia="zh-CN"/>
        </w:rPr>
      </w:r>
      <w:r/>
    </w:p>
    <w:p>
      <w:pPr>
        <w:jc w:val="left"/>
        <w:tabs>
          <w:tab w:val="left" w:pos="7022" w:leader="none"/>
        </w:tabs>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lang w:eastAsia="zh-CN"/>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color w:val="auto"/>
          <w:sz w:val="30"/>
          <w:szCs w:val="30"/>
          <w:highlight w:val="none"/>
        </w:rPr>
      </w:pPr>
      <w:r>
        <w:rPr>
          <w:rFonts w:ascii="黑体" w:hAnsi="华文中宋" w:eastAsia="黑体"/>
          <w:bCs/>
          <w:color w:val="auto"/>
          <w:sz w:val="30"/>
          <w:szCs w:val="30"/>
          <w:highlight w:val="none"/>
        </w:rPr>
      </w:r>
      <w:r>
        <w:rPr>
          <w:rFonts w:ascii="黑体" w:hAnsi="华文中宋" w:eastAsia="黑体"/>
          <w:bCs/>
          <w:color w:val="auto"/>
          <w:sz w:val="30"/>
          <w:szCs w:val="30"/>
          <w:highlight w:val="none"/>
        </w:rPr>
      </w:r>
      <w:r/>
    </w:p>
    <w:p>
      <w:pPr>
        <w:ind w:firstLine="900"/>
        <w:rPr>
          <w:rFonts w:ascii="黑体" w:hAnsi="华文中宋" w:eastAsia="黑体"/>
          <w:color w:val="auto"/>
          <w:sz w:val="30"/>
          <w:szCs w:val="30"/>
          <w:highlight w:val="none"/>
        </w:rPr>
      </w:pPr>
      <w:r>
        <w:rPr>
          <w:rFonts w:ascii="黑体" w:hAnsi="华文中宋" w:eastAsia="黑体"/>
          <w:color w:val="auto"/>
          <w:sz w:val="30"/>
          <w:szCs w:val="30"/>
          <w:highlight w:val="none"/>
        </w:rPr>
      </w:r>
      <w:r>
        <w:rPr>
          <w:rFonts w:ascii="黑体" w:hAnsi="华文中宋" w:eastAsia="黑体"/>
          <w:color w:val="auto"/>
          <w:sz w:val="30"/>
          <w:szCs w:val="30"/>
          <w:highlight w:val="none"/>
        </w:rPr>
      </w:r>
      <w:r/>
    </w:p>
    <w:p>
      <w:pPr>
        <w:ind w:firstLine="900"/>
        <w:rPr>
          <w:rFonts w:ascii="黑体" w:hAnsi="华文中宋" w:eastAsia="黑体"/>
          <w:color w:val="auto"/>
          <w:sz w:val="30"/>
          <w:szCs w:val="30"/>
          <w:highlight w:val="none"/>
        </w:rPr>
      </w:pPr>
      <w:r>
        <w:rPr>
          <w:rFonts w:ascii="黑体" w:hAnsi="华文中宋" w:eastAsia="黑体"/>
          <w:color w:val="auto"/>
          <w:sz w:val="30"/>
          <w:szCs w:val="30"/>
          <w:highlight w:val="none"/>
        </w:rPr>
      </w:r>
      <w:r>
        <w:rPr>
          <w:rFonts w:ascii="黑体" w:hAnsi="华文中宋" w:eastAsia="黑体"/>
          <w:color w:val="auto"/>
          <w:sz w:val="30"/>
          <w:szCs w:val="30"/>
          <w:highlight w:val="none"/>
        </w:rPr>
      </w:r>
      <w:r/>
    </w:p>
    <w:p>
      <w:pPr>
        <w:ind w:firstLine="900"/>
        <w:rPr>
          <w:rFonts w:ascii="黑体" w:hAnsi="华文中宋" w:eastAsia="黑体"/>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spacing w:line="360" w:lineRule="auto"/>
        <w:tabs>
          <w:tab w:val="left" w:pos="21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JSZC-320214-JSZH-G2026-0039</w:t>
      </w:r>
      <w:r/>
    </w:p>
    <w:p>
      <w:pPr>
        <w:ind w:firstLine="900"/>
        <w:jc w:val="left"/>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2026年重点排污单位监测项目</w:t>
      </w:r>
      <w:r/>
    </w:p>
    <w:p>
      <w:pPr>
        <w:ind w:firstLine="900"/>
        <w:jc w:val="left"/>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jc w:val="center"/>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二〇二</w:t>
      </w:r>
      <w:r>
        <w:rPr>
          <w:rFonts w:hint="eastAsia" w:ascii="黑体" w:hAnsi="华文中宋" w:eastAsia="黑体"/>
          <w:bCs/>
          <w:color w:val="auto"/>
          <w:sz w:val="30"/>
          <w:szCs w:val="30"/>
          <w:highlight w:val="none"/>
          <w:lang w:val="en-US" w:eastAsia="zh-CN"/>
        </w:rPr>
        <w:t xml:space="preserve">六</w:t>
      </w:r>
      <w:r>
        <w:rPr>
          <w:rFonts w:hint="eastAsia" w:ascii="黑体" w:hAnsi="华文中宋" w:eastAsia="黑体"/>
          <w:bCs/>
          <w:color w:val="auto"/>
          <w:sz w:val="30"/>
          <w:szCs w:val="30"/>
          <w:highlight w:val="none"/>
        </w:rPr>
        <w:t xml:space="preserve">年</w:t>
      </w:r>
      <w:r>
        <w:rPr>
          <w:rFonts w:hint="eastAsia" w:ascii="黑体" w:hAnsi="华文中宋" w:eastAsia="黑体"/>
          <w:bCs/>
          <w:color w:val="auto"/>
          <w:sz w:val="30"/>
          <w:szCs w:val="30"/>
          <w:highlight w:val="none"/>
          <w:lang w:eastAsia="zh-CN"/>
        </w:rPr>
        <w:t xml:space="preserve">六</w:t>
      </w:r>
      <w:r>
        <w:rPr>
          <w:rFonts w:hint="eastAsia" w:ascii="黑体" w:hAnsi="华文中宋" w:eastAsia="黑体"/>
          <w:bCs/>
          <w:color w:val="auto"/>
          <w:sz w:val="30"/>
          <w:szCs w:val="30"/>
          <w:highlight w:val="none"/>
        </w:rPr>
        <w:t xml:space="preserve">月</w:t>
      </w:r>
      <w:r/>
    </w:p>
    <w:p>
      <w:pPr>
        <w:jc w:val="center"/>
        <w:rPr>
          <w:rStyle w:val="888"/>
          <w:rFonts w:eastAsia="黑体"/>
          <w:bCs/>
          <w:color w:val="auto"/>
          <w:sz w:val="48"/>
          <w:highlight w:val="none"/>
        </w:rPr>
      </w:pPr>
      <w:r>
        <w:rPr>
          <w:rStyle w:val="888"/>
          <w:rFonts w:eastAsia="黑体"/>
          <w:bCs/>
          <w:color w:val="auto"/>
          <w:sz w:val="48"/>
          <w:highlight w:val="none"/>
        </w:rPr>
        <w:br w:type="page" w:clear="all"/>
      </w:r>
      <w:r>
        <w:rPr>
          <w:rStyle w:val="888"/>
          <w:rFonts w:hint="eastAsia" w:eastAsia="黑体"/>
          <w:bCs/>
          <w:color w:val="auto"/>
          <w:sz w:val="48"/>
          <w:highlight w:val="none"/>
        </w:rPr>
        <w:t xml:space="preserve">目录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716"/>
        <w:spacing w:line="360" w:lineRule="auto"/>
        <w:tabs>
          <w:tab w:val="right" w:pos="9746" w:leader="dot"/>
        </w:tabs>
        <w:rPr>
          <w:rFonts w:hint="eastAsia" w:ascii="宋体" w:hAnsi="宋体" w:eastAsia="宋体" w:cs="宋体"/>
          <w:b/>
          <w:bCs/>
          <w:color w:val="auto"/>
          <w:sz w:val="28"/>
          <w:szCs w:val="28"/>
          <w:highlight w:val="none"/>
        </w:rPr>
      </w:pPr>
      <w:r/>
      <w:bookmarkStart w:id="0" w:name="报价方须知前附表"/>
      <w:r/>
      <w:bookmarkEnd w:id="0"/>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_Toc25741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一.投标邀请函</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_Toc25741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_Toc18269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二.投标人须知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_Toc18269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_Toc5672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三.项目技术要求和有关说明</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_Toc5672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_Toc32067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四.合同书（格式文本）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_Toc32067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30</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_Toc25075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bidi="ar"/>
        </w:rPr>
        <w:t xml:space="preserve">五.合同条款</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_Toc25075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_Toc26767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六.附件</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_Toc26767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spacing w:line="360" w:lineRule="auto"/>
        <w:rPr>
          <w:color w:val="auto"/>
          <w:highlight w:val="none"/>
        </w:rPr>
      </w:pPr>
      <w:r>
        <w:rPr>
          <w:rFonts w:hint="eastAsia" w:ascii="宋体" w:hAnsi="宋体" w:eastAsia="宋体" w:cs="宋体"/>
          <w:b/>
          <w:bCs/>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656"/>
      <w:r/>
      <w:bookmarkStart w:id="2" w:name="_Toc25741"/>
      <w:r/>
      <w:bookmarkStart w:id="18" w:name="_GoBack"/>
      <w:r/>
      <w:bookmarkEnd w:id="18"/>
      <w:r>
        <w:rPr>
          <w:rFonts w:hint="eastAsia" w:ascii="黑体" w:eastAsia="黑体"/>
          <w:bCs/>
          <w:color w:val="auto"/>
          <w:sz w:val="28"/>
          <w:szCs w:val="28"/>
          <w:highlight w:val="none"/>
        </w:rPr>
        <w:t xml:space="preserve">一.投标邀请函</w:t>
      </w:r>
      <w:bookmarkEnd w:id="1"/>
      <w:r/>
      <w:bookmarkEnd w:id="2"/>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w:t>
      </w: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2026年重点排污单位监测项目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2026年重点排污单位监测项目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JSZC-320214-JSZH-G2026-0039</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一年（具体起始时间根据合同约定）</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300万元（一标段：85万元，二标段：80万元，三标段：60万元，四标段：75万元）</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 xml:space="preserve">本项目由各投标供应商报优惠率，设</w:t>
      </w:r>
      <w:r>
        <w:rPr>
          <w:rFonts w:hint="eastAsia" w:ascii="宋体" w:hAnsi="宋体" w:cs="宋体"/>
          <w:color w:val="auto"/>
          <w:sz w:val="24"/>
          <w:szCs w:val="24"/>
          <w:highlight w:val="none"/>
        </w:rPr>
        <w:t xml:space="preserve">最高折扣率≤</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（注：折扣率=1-优惠率</w:t>
      </w:r>
      <w:r>
        <w:rPr>
          <w:rFonts w:hint="eastAsia" w:ascii="宋体" w:hAnsi="宋体" w:cs="宋体"/>
          <w:color w:val="auto"/>
          <w:sz w:val="24"/>
          <w:szCs w:val="24"/>
          <w:highlight w:val="none"/>
        </w:rPr>
        <w:t xml:space="preserve">），投标报价高于最高折扣率的投标将视为无效投标。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无锡市新吴生态环境局</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9.本项目是否专门面向中小企业：</w:t>
      </w:r>
      <w:r>
        <w:rPr>
          <w:rFonts w:hint="eastAsia" w:ascii="宋体" w:hAnsi="宋体" w:eastAsia="宋体" w:cs="宋体"/>
          <w:color w:val="auto"/>
          <w:sz w:val="24"/>
          <w:szCs w:val="24"/>
          <w:highlight w:val="none"/>
          <w:lang w:val="en-US" w:eastAsia="zh-CN"/>
        </w:rPr>
        <w:t xml:space="preserve">一标段、二</w:t>
      </w:r>
      <w:r>
        <w:rPr>
          <w:rFonts w:hint="eastAsia" w:ascii="宋体" w:hAnsi="宋体" w:eastAsia="宋体" w:cs="宋体"/>
          <w:color w:val="auto"/>
          <w:sz w:val="24"/>
          <w:szCs w:val="24"/>
          <w:highlight w:val="none"/>
        </w:rPr>
        <w:t xml:space="preserve">标段：否；</w:t>
      </w:r>
      <w:r>
        <w:rPr>
          <w:rFonts w:hint="eastAsia" w:ascii="宋体" w:hAnsi="宋体" w:eastAsia="宋体" w:cs="宋体"/>
          <w:color w:val="auto"/>
          <w:sz w:val="24"/>
          <w:szCs w:val="24"/>
          <w:highlight w:val="none"/>
          <w:lang w:val="en-US" w:eastAsia="zh-CN"/>
        </w:rPr>
        <w:t xml:space="preserve">三标段、四标段</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rPr>
        <w:t xml:space="preserve">本项目共设</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个标段，一标段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主要包含312国道以北、高浪路高架以东、鸿山旅游度假区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鸿山街道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区域内排污单位监督监测和上级交办等其他监测任务；二标段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主要包含高浪路以南、机场路以东区域内排污单位监督监测和上级交办等其他监测任务；</w:t>
      </w:r>
      <w:r>
        <w:rPr>
          <w:rFonts w:hint="eastAsia" w:ascii="宋体" w:hAnsi="宋体" w:cs="宋体"/>
          <w:color w:val="auto"/>
          <w:sz w:val="24"/>
          <w:szCs w:val="24"/>
          <w:highlight w:val="none"/>
          <w:lang w:val="en-US" w:eastAsia="zh-CN"/>
        </w:rPr>
        <w:t xml:space="preserve">三标段：主要包含江溪街道、中欧产业创新区（梅村街道）以及高浪路以北、312国道以西区域内排污单位监督监测和上级交办等其他监测任务；四标段：主要包含新加坡科创城（旺庄街道）、新安街道、空港经开区（硕放街道）区域内排污单位监督监测和上级交办等其他监测任务。</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投标供应商可以参加本次采购所有符合报名条件的</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个标段的投标报名，但中标最多只能中1个标段，由评分排名第1名中标。</w:t>
      </w:r>
      <w:r>
        <w:rPr>
          <w:rFonts w:hint="eastAsia" w:ascii="宋体" w:hAnsi="宋体" w:cs="宋体"/>
          <w:color w:val="auto"/>
          <w:sz w:val="24"/>
          <w:szCs w:val="24"/>
          <w:highlight w:val="none"/>
          <w:lang w:eastAsia="zh-CN"/>
        </w:rPr>
        <w:t xml:space="preserve">两个及以上标段</w:t>
      </w:r>
      <w:r>
        <w:rPr>
          <w:rFonts w:hint="eastAsia" w:ascii="宋体" w:hAnsi="宋体" w:cs="宋体"/>
          <w:color w:val="auto"/>
          <w:sz w:val="24"/>
          <w:szCs w:val="24"/>
          <w:highlight w:val="none"/>
        </w:rPr>
        <w:t xml:space="preserve">评分排名均</w:t>
      </w:r>
      <w:r>
        <w:rPr>
          <w:rFonts w:hint="eastAsia" w:ascii="宋体" w:hAnsi="宋体" w:cs="宋体"/>
          <w:color w:val="auto"/>
          <w:sz w:val="24"/>
          <w:szCs w:val="24"/>
          <w:highlight w:val="none"/>
          <w:lang w:eastAsia="zh-CN"/>
        </w:rPr>
        <w:t xml:space="preserve">排第一</w:t>
      </w:r>
      <w:r>
        <w:rPr>
          <w:rFonts w:hint="eastAsia" w:ascii="宋体" w:hAnsi="宋体" w:cs="宋体"/>
          <w:color w:val="auto"/>
          <w:sz w:val="24"/>
          <w:szCs w:val="24"/>
          <w:highlight w:val="none"/>
        </w:rPr>
        <w:t xml:space="preserve">的情况下由投标单位在投标文件中承诺优先中何标段。如某标段排名第一的投标人已经中了其他标段，则该标段由排名第二的投标人中标，</w:t>
      </w:r>
      <w:r>
        <w:rPr>
          <w:rFonts w:hint="eastAsia" w:ascii="宋体" w:hAnsi="宋体" w:cs="宋体"/>
          <w:color w:val="auto"/>
          <w:sz w:val="24"/>
          <w:szCs w:val="24"/>
          <w:highlight w:val="none"/>
          <w:lang w:eastAsia="zh-CN"/>
        </w:rPr>
        <w:t xml:space="preserve">依此类推</w:t>
      </w:r>
      <w:r>
        <w:rPr>
          <w:rFonts w:hint="eastAsia" w:ascii="宋体" w:hAnsi="宋体" w:cs="宋体"/>
          <w:color w:val="auto"/>
          <w:sz w:val="24"/>
          <w:szCs w:val="24"/>
          <w:highlight w:val="none"/>
        </w:rPr>
        <w:t xml:space="preserve">。</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lang w:val="en-US" w:eastAsia="zh-CN"/>
        </w:rPr>
        <w:t xml:space="preserve">一标段、二</w:t>
      </w:r>
      <w:r>
        <w:rPr>
          <w:rFonts w:hint="eastAsia" w:ascii="宋体" w:hAnsi="宋体" w:eastAsia="宋体" w:cs="宋体"/>
          <w:color w:val="auto"/>
          <w:sz w:val="24"/>
          <w:szCs w:val="24"/>
          <w:highlight w:val="none"/>
        </w:rPr>
        <w:t xml:space="preserve">标段</w:t>
      </w:r>
      <w:r>
        <w:rPr>
          <w:rFonts w:hint="eastAsia" w:ascii="宋体" w:hAnsi="宋体"/>
          <w:color w:val="auto"/>
          <w:sz w:val="24"/>
          <w:szCs w:val="24"/>
          <w:highlight w:val="none"/>
          <w:lang w:val="en-US" w:eastAsia="zh-CN"/>
        </w:rPr>
        <w:t xml:space="preserve">无</w:t>
      </w:r>
      <w:r>
        <w:rPr>
          <w:rFonts w:hint="eastAsia" w:ascii="宋体" w:hAnsi="宋体"/>
          <w:color w:val="auto"/>
          <w:sz w:val="24"/>
          <w:szCs w:val="24"/>
          <w:highlight w:val="none"/>
        </w:rPr>
        <w:t xml:space="preserve">；三标段、四标段专门面向中小企业采购（残疾人福利性单位、监狱企业视同小型、微型企业）</w:t>
      </w:r>
      <w:r>
        <w:rPr>
          <w:rFonts w:hint="eastAsia" w:ascii="宋体" w:hAnsi="宋体"/>
          <w:color w:val="auto"/>
          <w:sz w:val="24"/>
          <w:szCs w:val="24"/>
          <w:highlight w:val="none"/>
          <w:lang w:eastAsia="zh-CN"/>
        </w:rPr>
        <w:t xml:space="preserve">。</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（1）未被“信用中国”网站列入失信被执行人、重大税收违法案件当事人名单、政府采购严重违法失信行为记录名单；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投标供应商必须具备省级及以上《资质认定计量认证证书》或《检验检测机构资质认定证书》；（</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）一标段、二标段投标供应商实验室资质认定的环境类监测项目中必须具备废气中二噁英检测能力</w:t>
      </w:r>
      <w:r>
        <w:rPr>
          <w:rFonts w:hint="eastAsia" w:ascii="宋体" w:hAnsi="宋体"/>
          <w:color w:val="auto"/>
          <w:sz w:val="24"/>
          <w:szCs w:val="24"/>
          <w:highlight w:val="none"/>
          <w:lang w:val="en-US" w:eastAsia="zh-CN"/>
        </w:rPr>
        <w:t xml:space="preserve">。</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w:t>
      </w:r>
      <w:r>
        <w:rPr>
          <w:rFonts w:hint="eastAsia" w:ascii="宋体" w:hAnsi="宋体"/>
          <w:color w:val="auto"/>
          <w:sz w:val="24"/>
          <w:szCs w:val="24"/>
          <w:highlight w:val="none"/>
          <w:lang w:val="en-US" w:eastAsia="zh-CN"/>
        </w:rPr>
        <w:t xml:space="preserve">一楼</w:t>
      </w:r>
      <w:r>
        <w:rPr>
          <w:rFonts w:hint="eastAsia" w:ascii="宋体" w:hAnsi="宋体"/>
          <w:color w:val="auto"/>
          <w:sz w:val="24"/>
          <w:szCs w:val="24"/>
          <w:highlight w:val="none"/>
        </w:rPr>
        <w:t xml:space="preserve">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w:t>
      </w:r>
      <w:r>
        <w:rPr>
          <w:rFonts w:hint="eastAsia" w:ascii="宋体" w:hAnsi="宋体"/>
          <w:bCs/>
          <w:color w:val="auto"/>
          <w:sz w:val="24"/>
          <w:szCs w:val="24"/>
          <w:highlight w:val="none"/>
          <w:lang w:eastAsia="zh-CN"/>
        </w:rPr>
        <w:t xml:space="preserve">截至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00</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JSZC-320214-JSZH-G2026-0039</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月30</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val="en-US" w:eastAsia="zh-CN"/>
        </w:rPr>
        <w:t xml:space="preserve">本</w:t>
      </w:r>
      <w:r>
        <w:rPr>
          <w:rFonts w:hint="eastAsia" w:ascii="黑体" w:hAnsi="黑体" w:eastAsia="黑体"/>
          <w:bCs/>
          <w:color w:val="auto"/>
          <w:sz w:val="24"/>
          <w:szCs w:val="24"/>
          <w:highlight w:val="none"/>
        </w:rPr>
        <w:t xml:space="preserve">次采购联系方式</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采购人：无锡市新吴生态环境局</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采购人地址：无锡市新吴区净慧东道70号</w:t>
      </w:r>
      <w:r/>
    </w:p>
    <w:p>
      <w:pPr>
        <w:pStyle w:val="875"/>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王宁</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联系电话：0510-85992303</w:t>
      </w:r>
      <w:r/>
    </w:p>
    <w:p>
      <w:pPr>
        <w:pStyle w:val="875"/>
        <w:ind w:firstLine="480"/>
        <w:spacing w:before="0" w:beforeAutospacing="0" w:after="0" w:afterAutospacing="0" w:line="460" w:lineRule="exact"/>
        <w:tabs>
          <w:tab w:val="left" w:pos="0" w:leader="none"/>
        </w:tabs>
        <w:rPr>
          <w:rFonts w:cs="宋体"/>
          <w:color w:val="auto"/>
          <w:highlight w:val="none"/>
        </w:rPr>
      </w:pPr>
      <w:r>
        <w:rPr>
          <w:rFonts w:cs="宋体"/>
          <w:color w:val="auto"/>
          <w:highlight w:val="none"/>
        </w:rPr>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采购代理机构：江苏智汇锡建工程项目管理有限公司</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采购代理机构统一</w:t>
      </w:r>
      <w:r>
        <w:rPr>
          <w:rFonts w:hint="eastAsia" w:cs="宋体"/>
          <w:color w:val="auto"/>
          <w:highlight w:val="none"/>
        </w:rPr>
        <w:t xml:space="preserve">社会</w:t>
      </w:r>
      <w:r>
        <w:rPr>
          <w:rFonts w:hint="eastAsia" w:cs="宋体"/>
          <w:color w:val="auto"/>
          <w:highlight w:val="none"/>
          <w:lang w:val="zh-CN"/>
        </w:rPr>
        <w:t xml:space="preserve">信用代码：91320214727400523L</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联系人：徐丽平、吴雨洁</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875"/>
        <w:ind w:firstLine="480"/>
        <w:spacing w:before="0" w:beforeAutospacing="0" w:after="0" w:afterAutospacing="0" w:line="460" w:lineRule="exact"/>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：jszh009@163.com</w:t>
      </w:r>
      <w:r/>
    </w:p>
    <w:p>
      <w:pPr>
        <w:pStyle w:val="875"/>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75"/>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875"/>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380"/>
      <w:r/>
      <w:bookmarkStart w:id="5" w:name="_Toc18269"/>
      <w:r>
        <w:rPr>
          <w:rFonts w:hint="eastAsia" w:ascii="黑体" w:eastAsia="黑体"/>
          <w:bCs/>
          <w:color w:val="auto"/>
          <w:sz w:val="28"/>
          <w:szCs w:val="28"/>
          <w:highlight w:val="none"/>
        </w:rPr>
        <w:t xml:space="preserve">二.投标人须知</w:t>
      </w:r>
      <w:bookmarkEnd w:id="4"/>
      <w:r/>
      <w:bookmarkEnd w:id="5"/>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keepLines w:val="0"/>
        <w:keepNext w:val="0"/>
        <w:pageBreakBefore w:val="0"/>
        <w:spacing w:line="360" w:lineRule="auto"/>
        <w:widowControl w:val="off"/>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keepLines w:val="0"/>
        <w:keepNext w:val="0"/>
        <w:pageBreakBefore w:val="0"/>
        <w:spacing w:line="360" w:lineRule="auto"/>
        <w:widowControl w:val="off"/>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keepLines w:val="0"/>
        <w:keepNext w:val="0"/>
        <w:pageBreakBefore w:val="0"/>
        <w:spacing w:line="360" w:lineRule="auto"/>
        <w:widowControl w:val="off"/>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45"/>
        <w:numPr>
          <w:ilvl w:val="1"/>
          <w:numId w:val="4"/>
        </w:numPr>
        <w:ind w:left="0" w:firstLine="567"/>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45"/>
        <w:numPr>
          <w:ilvl w:val="1"/>
          <w:numId w:val="4"/>
        </w:numPr>
        <w:ind w:left="0" w:firstLine="567"/>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lang w:eastAsia="zh-CN"/>
        </w:rPr>
        <w:t xml:space="preserve">服务保障承诺书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bCs w:val="0"/>
          <w:color w:val="auto"/>
          <w:sz w:val="24"/>
          <w:szCs w:val="24"/>
          <w:highlight w:val="none"/>
          <w:lang w:val="en-US" w:eastAsia="zh-CN"/>
        </w:rPr>
        <w:t xml:space="preserve">三标段、四标段须提供，</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rPr>
          <w:rFonts w:hint="eastAsia" w:ascii="宋体"/>
          <w:bCs/>
          <w:color w:val="auto"/>
          <w:sz w:val="24"/>
          <w:szCs w:val="24"/>
          <w:highlight w:val="none"/>
          <w:lang w:eastAsia="zh-CN"/>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cs="宋体"/>
          <w:bCs/>
          <w:color w:val="auto"/>
          <w:sz w:val="24"/>
          <w:szCs w:val="24"/>
          <w:highlight w:val="none"/>
        </w:rPr>
        <w:t xml:space="preserve">仪器设备（标准物质）配置一览表（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cs="宋体"/>
          <w:bCs/>
          <w:color w:val="auto"/>
          <w:sz w:val="24"/>
          <w:szCs w:val="24"/>
          <w:highlight w:val="none"/>
        </w:rPr>
        <w:t xml:space="preserve">实验室基本情况（</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项目组人员配备计划表（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rPr>
        <w:t xml:space="preserve">关键岗位人员情况表（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.中标标段优先顺序承诺函（</w:t>
      </w:r>
      <w:r>
        <w:rPr>
          <w:rFonts w:hint="eastAsia" w:ascii="宋体" w:hAnsi="宋体"/>
          <w:b/>
          <w:bCs w:val="0"/>
          <w:color w:val="auto"/>
          <w:sz w:val="24"/>
          <w:szCs w:val="24"/>
          <w:highlight w:val="none"/>
          <w:lang w:eastAsia="zh-CN"/>
        </w:rPr>
        <w:t xml:space="preserve">如参加多标段投标，本项必须提供，格式见附件</w:t>
      </w:r>
      <w:r>
        <w:rPr>
          <w:rFonts w:hint="eastAsia" w:ascii="宋体" w:hAnsi="宋体"/>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技术文件</w:t>
      </w:r>
      <w:r>
        <w:rPr>
          <w:rFonts w:hint="eastAsia" w:ascii="宋体" w:hAnsi="宋体"/>
          <w:b/>
          <w:color w:val="auto"/>
          <w:sz w:val="24"/>
          <w:szCs w:val="24"/>
          <w:highlight w:val="none"/>
        </w:rPr>
        <w:t xml:space="preserve">（暗标，内容参照评标办法）</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eastAsia="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评分标准中对应的其他所需证明材料（如有自行添加）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要求采购人提供的配合（如有自拟并自行添加）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其他（报价人认为有必要提供的声明和文件，如有自拟并自行添加）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7"/>
        </w:numPr>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电子投标文件中技术文件暗标部分未按要求编制，编制粗糙、缺漏项、格式混乱、条理不清的</w:t>
      </w:r>
      <w:r>
        <w:rPr>
          <w:rFonts w:hint="eastAsia" w:ascii="宋体"/>
          <w:bCs/>
          <w:color w:val="auto"/>
          <w:sz w:val="24"/>
          <w:szCs w:val="24"/>
          <w:highlight w:val="none"/>
          <w:lang w:eastAsia="zh-CN"/>
        </w:rPr>
        <w:t xml:space="preserve">；</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7"/>
        </w:numPr>
        <w:ind w:left="1" w:firstLine="523"/>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7"/>
        </w:numPr>
        <w:ind w:left="1" w:firstLine="523"/>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highlight w:val="none"/>
          <w:shd w:val="clear" w:color="auto" w:fill="auto"/>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keepLines w:val="0"/>
        <w:keepNext w:val="0"/>
        <w:pageBreakBefore w:val="0"/>
        <w:spacing w:line="360" w:lineRule="auto"/>
        <w:widowControl w:val="off"/>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9"/>
        </w:numPr>
        <w:ind w:left="0" w:firstLine="523"/>
        <w:keepLines w:val="0"/>
        <w:keepNext w:val="0"/>
        <w:pageBreakBefore w:val="0"/>
        <w:spacing w:line="360" w:lineRule="auto"/>
        <w:widowControl w:val="off"/>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0"/>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w:t>
      </w:r>
      <w:r>
        <w:rPr>
          <w:rFonts w:hint="eastAsia" w:ascii="宋体" w:hAnsi="宋体" w:cs="宋体"/>
          <w:bCs/>
          <w:color w:val="auto"/>
          <w:sz w:val="24"/>
          <w:szCs w:val="24"/>
          <w:highlight w:val="none"/>
          <w:lang w:val="en-US" w:eastAsia="zh-CN"/>
        </w:rPr>
        <w:t xml:space="preserve">或代理机构</w:t>
      </w:r>
      <w:r>
        <w:rPr>
          <w:rFonts w:hint="eastAsia" w:ascii="宋体" w:hAnsi="宋体" w:cs="宋体"/>
          <w:bCs/>
          <w:color w:val="auto"/>
          <w:sz w:val="24"/>
          <w:szCs w:val="24"/>
          <w:highlight w:val="none"/>
        </w:rPr>
        <w:t xml:space="preserve">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0"/>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9"/>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9"/>
        </w:numPr>
        <w:ind w:left="0" w:firstLine="523"/>
        <w:keepLines w:val="0"/>
        <w:keepNext w:val="0"/>
        <w:pageBreakBefore w:val="0"/>
        <w:spacing w:line="360" w:lineRule="auto"/>
        <w:widowControl w:val="off"/>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2"/>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2"/>
        </w:numPr>
        <w:ind w:left="0" w:firstLine="525"/>
        <w:keepLines w:val="0"/>
        <w:keepNext w:val="0"/>
        <w:pageBreakBefore w:val="0"/>
        <w:spacing w:line="360" w:lineRule="auto"/>
        <w:widowControl w:val="off"/>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3"/>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3"/>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8"/>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8"/>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4"/>
        </w:numPr>
        <w:ind w:left="-105" w:firstLine="525"/>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4"/>
        </w:numPr>
        <w:ind w:left="-105" w:firstLine="525"/>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8"/>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w:t>
      </w:r>
      <w:r>
        <w:rPr>
          <w:rFonts w:hint="eastAsia" w:ascii="宋体" w:hAnsi="宋体"/>
          <w:color w:val="auto"/>
          <w:sz w:val="24"/>
          <w:highlight w:val="none"/>
          <w:shd w:val="clear" w:color="auto" w:fill="ffffff"/>
        </w:rPr>
        <w:t xml:space="preserve">各标段采购预算金额</w:t>
      </w:r>
      <w:r>
        <w:rPr>
          <w:rFonts w:hint="eastAsia" w:ascii="宋体" w:hAnsi="宋体"/>
          <w:color w:val="auto"/>
          <w:sz w:val="24"/>
          <w:highlight w:val="none"/>
        </w:rPr>
        <w:t xml:space="preserve">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color w:val="auto"/>
          <w:sz w:val="24"/>
          <w:highlight w:val="none"/>
          <w:lang w:eastAsia="zh-CN"/>
        </w:rPr>
        <w:t xml:space="preserve">，500万-1000万</w:t>
      </w:r>
      <w:r>
        <w:rPr>
          <w:rFonts w:hint="eastAsia" w:ascii="宋体" w:hAnsi="宋体" w:eastAsia="宋体" w:cs="宋体"/>
          <w:color w:val="auto"/>
          <w:sz w:val="24"/>
          <w:highlight w:val="none"/>
        </w:rPr>
        <w:t xml:space="preserve">费率为0.</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招标代理服务费包含在本项目投标总报价中，</w:t>
      </w:r>
      <w:r>
        <w:rPr>
          <w:rFonts w:hint="eastAsia" w:ascii="宋体" w:hAnsi="宋体"/>
          <w:bCs/>
          <w:color w:val="auto"/>
          <w:sz w:val="24"/>
          <w:highlight w:val="none"/>
        </w:rPr>
        <w:t xml:space="preserve">领取中标通知书时由中标供应商向采购代理机构一次性付清。</w:t>
      </w:r>
      <w:r/>
    </w:p>
    <w:p>
      <w:pPr>
        <w:ind w:firstLine="480"/>
        <w:keepLines w:val="0"/>
        <w:keepNext w:val="0"/>
        <w:pageBreakBefore w:val="0"/>
        <w:spacing w:line="360" w:lineRule="auto"/>
        <w:widowControl w:val="off"/>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keepLines w:val="0"/>
        <w:keepNext w:val="0"/>
        <w:pageBreakBefore w:val="0"/>
        <w:spacing w:line="360" w:lineRule="auto"/>
        <w:widowControl w:val="off"/>
        <w:tabs>
          <w:tab w:val="left" w:pos="1140" w:leader="none"/>
        </w:tabs>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4.评审费由采购人支付。</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6" w:name="_Toc2291"/>
      <w:r/>
      <w:bookmarkStart w:id="7" w:name="_Toc5672"/>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6"/>
      <w:r/>
      <w:bookmarkEnd w:id="7"/>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一、项目简介</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为环境监测外包服务，主要内容为：根据采购人要求，在无锡市新吴区内承担重点排污单位监督性监测、在线仪比对监测等监测任务所涉及的现场监测、实验分析及送样分析检测及各类监测数据的综合分析工作，具体监测方案及管理根据《无锡市新吴区社会环境检测机构考核管理办法》执行。</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二、标段划分</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以参加本次采购所有符合报名条件的4个标段的投标报名，但中标最多只能中1个标段，由评分排名第1名中标。评分排名均在前的情况下由投标单位在投标文件中承诺优先中何标段。如某标段排名第一的投标人已经中了其他标段，则该标段由排名第二的投标人中标，依此类推。</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注：投标人被市级及以上行政主管部门处罚暂停业务的，在整改期间内不得参与本项目投标。</w:t>
      </w:r>
      <w:r>
        <w:rPr>
          <w:rFonts w:hint="eastAsia" w:ascii="宋体" w:hAnsi="宋体" w:eastAsia="宋体" w:cs="宋体"/>
          <w:b/>
          <w:bCs/>
          <w:color w:val="auto"/>
          <w:sz w:val="24"/>
          <w:szCs w:val="24"/>
          <w:highlight w:val="none"/>
          <w:lang w:val="en-US" w:eastAsia="zh-CN" w:bidi="ar-SA"/>
        </w:rPr>
        <w:t xml:space="preserve">（投标人提供未被市级及以上行政主管部门处罚暂停业务承诺书（格式自拟），并对承诺书内容承担一切法律责任）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各标段具体情况如下：</w:t>
      </w:r>
      <w:r/>
    </w:p>
    <w:tbl>
      <w:tblPr>
        <w:tblStyle w:val="70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8669"/>
      </w:tblGrid>
      <w:tr>
        <w:trPr>
          <w:trHeight w:val="23"/>
        </w:trPr>
        <w:tc>
          <w:tcPr>
            <w:tcW w:w="648" w:type="pct"/>
            <w:vAlign w:val="center"/>
            <w:textDirection w:val="lrTb"/>
            <w:noWrap w:val="false"/>
          </w:tcPr>
          <w:p>
            <w:pPr>
              <w:jc w:val="center"/>
              <w:spacing w:line="360" w:lineRule="auto"/>
              <w:rPr>
                <w:rFonts w:ascii="宋体" w:hAnsi="宋体" w:eastAsia="宋体" w:cs="宋体"/>
                <w:b/>
                <w:bCs/>
                <w:color w:val="auto"/>
                <w:sz w:val="24"/>
                <w:szCs w:val="24"/>
                <w:highlight w:val="none"/>
              </w:rPr>
            </w:pPr>
            <w:r/>
            <w:bookmarkStart w:id="8" w:name="_Hlk61517956"/>
            <w:r>
              <w:rPr>
                <w:rFonts w:hint="eastAsia" w:ascii="宋体" w:hAnsi="宋体" w:eastAsia="宋体" w:cs="宋体"/>
                <w:b/>
                <w:bCs/>
                <w:color w:val="auto"/>
                <w:sz w:val="24"/>
                <w:szCs w:val="24"/>
                <w:highlight w:val="none"/>
              </w:rPr>
              <w:t xml:space="preserve">标段</w:t>
            </w:r>
            <w:r/>
          </w:p>
        </w:tc>
        <w:tc>
          <w:tcPr>
            <w:tcW w:w="4351" w:type="pct"/>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主要内容</w:t>
            </w:r>
            <w:r/>
          </w:p>
        </w:tc>
      </w:tr>
      <w:tr>
        <w:trPr>
          <w:trHeight w:val="23"/>
        </w:trPr>
        <w:tc>
          <w:tcPr>
            <w:tcW w:w="64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一标段</w:t>
            </w:r>
            <w:r/>
          </w:p>
        </w:tc>
        <w:tc>
          <w:tcPr>
            <w:tcW w:w="4351"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主要包含312国道以北、高浪路高架以东、鸿山旅游度假区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鸿山街道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区域内排污单位监督监测和上级交办等其他监测任务</w:t>
            </w:r>
            <w:r/>
          </w:p>
        </w:tc>
      </w:tr>
      <w:tr>
        <w:trPr>
          <w:trHeight w:val="23"/>
        </w:trPr>
        <w:tc>
          <w:tcPr>
            <w:tcW w:w="64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二标段</w:t>
            </w:r>
            <w:r/>
          </w:p>
        </w:tc>
        <w:tc>
          <w:tcPr>
            <w:tcW w:w="4351"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主要包含高浪路以南、机场路以东区域内排污单位监督监测和上级交办等其他监测任务</w:t>
            </w:r>
            <w:r/>
          </w:p>
        </w:tc>
      </w:tr>
      <w:tr>
        <w:trPr>
          <w:trHeight w:val="90"/>
        </w:trPr>
        <w:tc>
          <w:tcPr>
            <w:tcW w:w="64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三标段</w:t>
            </w:r>
            <w:r/>
          </w:p>
        </w:tc>
        <w:tc>
          <w:tcPr>
            <w:tcW w:w="4351"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主要包含江溪街道、中欧产业创新区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梅村街道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以及高浪路以北、312国道以西区域内排污单位监督监测和上级交办等其他监测任务</w:t>
            </w:r>
            <w:r/>
          </w:p>
        </w:tc>
      </w:tr>
      <w:tr>
        <w:trPr>
          <w:trHeight w:val="23"/>
        </w:trPr>
        <w:tc>
          <w:tcPr>
            <w:tcW w:w="64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四标段</w:t>
            </w:r>
            <w:bookmarkEnd w:id="8"/>
            <w:r/>
            <w:r/>
          </w:p>
        </w:tc>
        <w:tc>
          <w:tcPr>
            <w:tcW w:w="4351" w:type="pct"/>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主要包含新加坡科创城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旺庄街道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、新安街道、空港经开区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硕放街道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区域内排污单位监督监测和上级交办等其他监测任务</w:t>
            </w:r>
            <w:r/>
          </w:p>
        </w:tc>
      </w:tr>
    </w:tbl>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tbl>
      <w:tblPr>
        <w:tblStyle w:val="704"/>
        <w:tblW w:w="9389" w:type="dxa"/>
        <w:jc w:val="center"/>
        <w:tblLayout w:type="fixed"/>
        <w:tblCellMar>
          <w:left w:w="108" w:type="dxa"/>
          <w:top w:w="0" w:type="dxa"/>
          <w:right w:w="108" w:type="dxa"/>
          <w:bottom w:w="0" w:type="dxa"/>
        </w:tblCellMar>
        <w:tblLook w:val="04A0" w:firstRow="1" w:lastRow="0" w:firstColumn="1" w:lastColumn="0" w:noHBand="0" w:noVBand="1"/>
      </w:tblPr>
      <w:tblGrid>
        <w:gridCol w:w="1150"/>
        <w:gridCol w:w="3533"/>
        <w:gridCol w:w="878"/>
        <w:gridCol w:w="3828"/>
      </w:tblGrid>
      <w:tr>
        <w:trPr>
          <w:jc w:val="center"/>
          <w:trHeight w:val="646"/>
        </w:trPr>
        <w:tc>
          <w:tcPr>
            <w:gridSpan w:val="4"/>
            <w:tcBorders>
              <w:top w:val="single" w:color="000000" w:sz="4" w:space="0"/>
              <w:left w:val="single" w:color="000000" w:sz="4" w:space="0"/>
              <w:bottom w:val="single" w:color="000000" w:sz="4" w:space="0"/>
              <w:right w:val="single" w:color="000000" w:sz="4" w:space="0"/>
            </w:tcBorders>
            <w:tcW w:w="9389"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一标段共</w:t>
            </w:r>
            <w:r>
              <w:rPr>
                <w:rFonts w:hint="eastAsia" w:ascii="宋体" w:hAnsi="宋体" w:cs="宋体"/>
                <w:b/>
                <w:bCs/>
                <w:color w:val="auto"/>
                <w:sz w:val="24"/>
                <w:szCs w:val="24"/>
                <w:highlight w:val="none"/>
                <w:lang w:val="en-US" w:eastAsia="zh-CN" w:bidi="ar"/>
              </w:rPr>
              <w:t xml:space="preserve">63</w:t>
            </w:r>
            <w:r>
              <w:rPr>
                <w:rFonts w:hint="eastAsia" w:ascii="宋体" w:hAnsi="宋体" w:cs="宋体"/>
                <w:b/>
                <w:bCs/>
                <w:color w:val="auto"/>
                <w:sz w:val="24"/>
                <w:szCs w:val="24"/>
                <w:highlight w:val="none"/>
                <w:lang w:bidi="ar"/>
              </w:rPr>
              <w:t xml:space="preserve">家企业，标段金额</w:t>
            </w:r>
            <w:r>
              <w:rPr>
                <w:rFonts w:hint="eastAsia" w:ascii="宋体" w:hAnsi="宋体" w:cs="宋体"/>
                <w:b/>
                <w:bCs/>
                <w:color w:val="auto"/>
                <w:sz w:val="24"/>
                <w:szCs w:val="24"/>
                <w:highlight w:val="none"/>
                <w:lang w:val="en-US" w:eastAsia="zh-CN" w:bidi="ar"/>
              </w:rPr>
              <w:t xml:space="preserve">85</w:t>
            </w:r>
            <w:r>
              <w:rPr>
                <w:rFonts w:hint="eastAsia" w:ascii="宋体" w:hAnsi="宋体" w:cs="宋体"/>
                <w:b/>
                <w:bCs/>
                <w:color w:val="auto"/>
                <w:sz w:val="24"/>
                <w:szCs w:val="24"/>
                <w:highlight w:val="none"/>
                <w:lang w:bidi="ar"/>
              </w:rPr>
              <w:t xml:space="preserve">万</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无锡海天机械有限公司（新韵路）</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无锡海天机械有限公司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盛隆资源再生（无锡）有限公司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欧司朗光电半导体（中国）有限公司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无锡丽阳膜科技有限公司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无锡华润安盛科技有限公司</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普发真空技术（无锡）有限公司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无锡八一塑料有限公司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无锡珀金斯动力系统科技有限公司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理光感热技术（无锡）有限公司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无锡市电子仪表工业有限公司南厂区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乐友新能源材料（无锡）有限公司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杰能科（中国）生物工程有限公司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西格玛奥德里奇（无锡）生化科技有限公司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无锡比亚迪电子科技有限公司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无锡布勒机械制造有限公司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高美可科技（无锡）有限公司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科玛化妆品（无锡）有限公司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无锡新广脉环保科技有限公司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无锡范尼韦尔工程有限公司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无锡三开高纯化工有限公司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捷普科技（无锡）有限公司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无锡威可楷发斯宁科技有限公司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无锡市电子仪表工业有限公司北厂区</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无锡摩比斯汽车零部件有限公司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无锡比亚迪电子有限公司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无锡威孚奥特凯姆精密机械有限公司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威巴克（无锡）减震器有限公司新吴区分公司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威巴克（无锡）减震器有限公司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无锡友联热电股份有限公司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利纳马汽车系统（无锡）有限公司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乾盛科技无锡有限公司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无锡能之汇环保科技有限公司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无锡仓佑汽车配件有限公司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卡特彼勒（中国）机械部件有限公司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利纳马汽车系统（无锡）有限公司锡勤路分公司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SK海力士系统集成电路（无锡）有限公司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飞而康快速制造科技有限责任公司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江苏电科环保有限公司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无锡威孚高科技集团股份有限公司（机械系统事业部）</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无锡易北河塑胶科技有限公司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无锡市圣马气体有限公司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无锡权善机械制造有限公司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无锡市三洲电子材料有限公司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无锡莱恩科技有限公司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无锡新皓源环保科技有限公司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江苏朗斯汽车用品有限公司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无锡胜维德赫华翔汽车零部件有限公司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无锡市国荣环保科技有限公司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无锡市文昊环保工程有限公司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无锡中天固废处置有限公司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无锡华光环保能源集团股份有限公司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江苏三贵资源再生有限公司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银邦金属复合材料股份有限公司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无锡军鸿再生资源利用有限公司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无锡市华联钢管有限公司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捷太格特汽车配件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default" w:ascii="宋体" w:hAnsi="宋体" w:eastAsia="宋体" w:cs="宋体"/>
                <w:i w:val="0"/>
                <w:iCs w:val="0"/>
                <w:color w:val="auto"/>
                <w:sz w:val="24"/>
                <w:szCs w:val="24"/>
                <w:highlight w:val="none"/>
                <w:u w:val="none"/>
                <w:lang w:val="en-US" w:eastAsia="zh-CN" w:bidi="ar"/>
              </w:rPr>
              <w:t xml:space="preserve">利纳马轻金属技术（无锡）有限公司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default" w:ascii="宋体" w:hAnsi="宋体" w:cs="宋体" w:eastAsiaTheme="minorEastAsia"/>
                <w:color w:val="auto"/>
                <w:sz w:val="24"/>
                <w:szCs w:val="24"/>
                <w:highlight w:val="none"/>
                <w:lang w:val="en-US" w:eastAsia="zh-CN" w:bidi="ar-SA"/>
              </w:rPr>
              <w:t xml:space="preserve">康明斯发电机技术(中国)有限公司新荣工厂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default" w:ascii="宋体" w:hAnsi="宋体" w:eastAsia="宋体" w:cs="宋体"/>
                <w:i w:val="0"/>
                <w:iCs w:val="0"/>
                <w:color w:val="auto"/>
                <w:sz w:val="24"/>
                <w:szCs w:val="24"/>
                <w:highlight w:val="none"/>
                <w:u w:val="none"/>
                <w:lang w:val="en-US" w:eastAsia="zh-CN" w:bidi="ar"/>
              </w:rPr>
              <w:t xml:space="preserve">摩丁热能技术（无锡）有限公司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default" w:ascii="宋体" w:hAnsi="宋体" w:cs="宋体" w:eastAsiaTheme="minorEastAsia"/>
                <w:color w:val="auto"/>
                <w:sz w:val="24"/>
                <w:szCs w:val="24"/>
                <w:highlight w:val="none"/>
                <w:lang w:val="en-US" w:eastAsia="zh-CN" w:bidi="ar-SA"/>
              </w:rPr>
              <w:suppressLineNumbers w:val="0"/>
            </w:pPr>
            <w:r>
              <w:rPr>
                <w:rFonts w:hint="default" w:ascii="宋体" w:hAnsi="宋体" w:cs="宋体" w:eastAsiaTheme="minorEastAsia"/>
                <w:color w:val="auto"/>
                <w:sz w:val="24"/>
                <w:szCs w:val="24"/>
                <w:highlight w:val="none"/>
                <w:lang w:val="en-US" w:eastAsia="zh-CN" w:bidi="ar-SA"/>
              </w:rPr>
              <w:t xml:space="preserve">无锡电装汽车部件有限公司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hint="default"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无锡市高新水务有限公司梅村水处理厂</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default"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鲍迪克（无锡）技术有限公司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rPr>
          <w:rFonts w:hint="default"/>
          <w:color w:val="auto"/>
          <w:highlight w:val="none"/>
          <w:lang w:val="en-US" w:eastAsia="zh-CN"/>
        </w:rPr>
      </w:pPr>
      <w:r>
        <w:rPr>
          <w:rFonts w:hint="default"/>
          <w:color w:val="auto"/>
          <w:highlight w:val="none"/>
          <w:lang w:val="en-US" w:eastAsia="zh-CN"/>
        </w:rPr>
      </w:r>
      <w:r/>
    </w:p>
    <w:p>
      <w:pPr>
        <w:pStyle w:val="705"/>
        <w:rPr>
          <w:rFonts w:hint="default"/>
          <w:color w:val="auto"/>
          <w:highlight w:val="none"/>
          <w:lang w:val="en-US" w:eastAsia="zh-CN"/>
        </w:rPr>
      </w:pPr>
      <w:r>
        <w:rPr>
          <w:rFonts w:hint="default"/>
          <w:color w:val="auto"/>
          <w:highlight w:val="none"/>
          <w:lang w:val="en-US" w:eastAsia="zh-CN"/>
        </w:rPr>
      </w:r>
      <w:r/>
    </w:p>
    <w:tbl>
      <w:tblPr>
        <w:tblStyle w:val="704"/>
        <w:tblW w:w="9408" w:type="dxa"/>
        <w:jc w:val="center"/>
        <w:tblLayout w:type="fixed"/>
        <w:tblCellMar>
          <w:left w:w="108" w:type="dxa"/>
          <w:top w:w="0" w:type="dxa"/>
          <w:right w:w="108" w:type="dxa"/>
          <w:bottom w:w="0" w:type="dxa"/>
        </w:tblCellMar>
        <w:tblLook w:val="04A0" w:firstRow="1" w:lastRow="0" w:firstColumn="1" w:lastColumn="0" w:noHBand="0" w:noVBand="1"/>
      </w:tblPr>
      <w:tblGrid>
        <w:gridCol w:w="1129"/>
        <w:gridCol w:w="3533"/>
        <w:gridCol w:w="878"/>
        <w:gridCol w:w="3868"/>
      </w:tblGrid>
      <w:tr>
        <w:trPr>
          <w:jc w:val="center"/>
          <w:trHeight w:val="881"/>
        </w:trPr>
        <w:tc>
          <w:tcPr>
            <w:gridSpan w:val="4"/>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二标段共</w:t>
            </w:r>
            <w:r>
              <w:rPr>
                <w:rFonts w:hint="eastAsia" w:ascii="宋体" w:hAnsi="宋体" w:cs="宋体"/>
                <w:b/>
                <w:bCs/>
                <w:color w:val="auto"/>
                <w:sz w:val="24"/>
                <w:szCs w:val="24"/>
                <w:highlight w:val="none"/>
                <w:lang w:val="en-US" w:eastAsia="zh-CN" w:bidi="ar"/>
              </w:rPr>
              <w:t xml:space="preserve">47</w:t>
            </w:r>
            <w:r>
              <w:rPr>
                <w:rFonts w:hint="eastAsia" w:ascii="宋体" w:hAnsi="宋体" w:cs="宋体"/>
                <w:b/>
                <w:bCs/>
                <w:color w:val="auto"/>
                <w:sz w:val="24"/>
                <w:szCs w:val="24"/>
                <w:highlight w:val="none"/>
                <w:lang w:bidi="ar"/>
              </w:rPr>
              <w:t xml:space="preserve">家企业，标段金额</w:t>
            </w:r>
            <w:r>
              <w:rPr>
                <w:rFonts w:hint="eastAsia" w:ascii="宋体" w:hAnsi="宋体" w:cs="宋体"/>
                <w:b/>
                <w:bCs/>
                <w:color w:val="auto"/>
                <w:sz w:val="24"/>
                <w:szCs w:val="24"/>
                <w:highlight w:val="none"/>
                <w:lang w:val="en-US" w:eastAsia="zh-CN" w:bidi="ar"/>
              </w:rPr>
              <w:t xml:space="preserve">80</w:t>
            </w:r>
            <w:r>
              <w:rPr>
                <w:rFonts w:hint="eastAsia" w:ascii="宋体" w:hAnsi="宋体" w:cs="宋体"/>
                <w:b/>
                <w:bCs/>
                <w:color w:val="auto"/>
                <w:sz w:val="24"/>
                <w:szCs w:val="24"/>
                <w:highlight w:val="none"/>
                <w:lang w:bidi="ar"/>
              </w:rPr>
              <w:t xml:space="preserve">万</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日新电机（无锡）有限公司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无锡康明斯涡轮增压技术有限公司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久保田发动机（无锡）有限公司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博世动力总成有限公司（新华路厂区）</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华虹半导体（无锡）有限公司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无锡药明合联生物技术有限公司</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乐星电缆（无锡）有限公司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相信制动系统（无锡）有限公司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富士胶片和光纯药制膜材料（无锡）有限公司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三樱（无锡）汽车部件有限公司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山王电子（无锡）有限公司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明思作机电（无锡）有限公司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新美亚电路（无锡）有限公司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无锡大地环境科技有限公司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普利司通（无锡）轮胎有限公司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住化电子材料科技（无锡）有限公司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无锡利友光电科技有限公司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江苏济烨生物制药有限公司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无锡德宝水务投资有限公司—硕放厂区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科特拉（无锡）汽车环保科技有限公司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无锡威孚高科技集团股份有限公司（技术中心）</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无锡比亚迪精密制造有限公司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精密烧结合金（无锡）有限公司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铁姆肯（无锡）轴承有限公司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菲尼萨光电通讯科技（无锡）有限公司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无锡盛烨特邦新材料科技有限公司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荣理研（无锡）科技有限公司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无锡村田电子有限公司锡钦路工厂</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贝卡特纺织品（无锡）有限公司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无锡华润上华科技有限公司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华虹半导体制造（无锡）有限公司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无锡宏仁电子材料科技有限公司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全讯射频科技（无锡）有限公司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喜开理（中国）有限公司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捷普电子（无锡）有限公司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无锡合全药业有限公司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无锡合全药业有限公司</w:t>
            </w:r>
            <w:r>
              <w:rPr>
                <w:rFonts w:hint="eastAsia" w:ascii="宋体" w:hAnsi="宋体" w:cs="宋体"/>
                <w:i w:val="0"/>
                <w:iCs w:val="0"/>
                <w:color w:val="auto"/>
                <w:sz w:val="24"/>
                <w:szCs w:val="24"/>
                <w:highlight w:val="none"/>
                <w:u w:val="none"/>
                <w:lang w:val="en-US" w:eastAsia="zh-CN" w:bidi="ar"/>
              </w:rPr>
              <w:t xml:space="preserve">C</w:t>
            </w:r>
            <w:r>
              <w:rPr>
                <w:rFonts w:hint="eastAsia" w:ascii="宋体" w:hAnsi="宋体" w:eastAsia="宋体" w:cs="宋体"/>
                <w:i w:val="0"/>
                <w:iCs w:val="0"/>
                <w:color w:val="auto"/>
                <w:sz w:val="24"/>
                <w:szCs w:val="24"/>
                <w:highlight w:val="none"/>
                <w:u w:val="none"/>
                <w:lang w:val="en-US" w:eastAsia="zh-CN" w:bidi="ar"/>
              </w:rPr>
              <w:t xml:space="preserve">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无锡合全药业有限公司B区</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无锡中顺生物技术有限公司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捷太格特密封科技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无锡村田电子有限公司新祥路工厂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威立雅水务技术（无锡）有限公司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无锡威孚高科技集团股份有限公司汽车零部件事业部</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希森美康生物科技（无锡）有限公司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昊盛恒新(无锡)材料有限公司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皆可博(无锡)车辆控制系统有限公司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无锡添源环保科技有限公司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r>
            <w:r/>
          </w:p>
        </w:tc>
      </w:tr>
    </w:tbl>
    <w:p>
      <w:pPr>
        <w:pStyle w:val="705"/>
        <w:rPr>
          <w:rFonts w:hint="default"/>
          <w:color w:val="auto"/>
          <w:highlight w:val="none"/>
          <w:lang w:val="en-US" w:eastAsia="zh-CN"/>
        </w:rPr>
      </w:pPr>
      <w:r>
        <w:rPr>
          <w:rFonts w:hint="default"/>
          <w:color w:val="auto"/>
          <w:highlight w:val="none"/>
          <w:lang w:val="en-US" w:eastAsia="zh-CN"/>
        </w:rPr>
      </w:r>
      <w:r/>
    </w:p>
    <w:p>
      <w:pPr>
        <w:pStyle w:val="705"/>
        <w:rPr>
          <w:rFonts w:hint="default"/>
          <w:color w:val="auto"/>
          <w:highlight w:val="none"/>
          <w:lang w:val="en-US" w:eastAsia="zh-CN"/>
        </w:rPr>
      </w:pPr>
      <w:r>
        <w:rPr>
          <w:rFonts w:hint="default"/>
          <w:color w:val="auto"/>
          <w:highlight w:val="none"/>
          <w:lang w:val="en-US" w:eastAsia="zh-CN"/>
        </w:rPr>
      </w:r>
      <w:r/>
    </w:p>
    <w:tbl>
      <w:tblPr>
        <w:tblStyle w:val="704"/>
        <w:tblW w:w="9297"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3533"/>
        <w:gridCol w:w="878"/>
        <w:gridCol w:w="4039"/>
      </w:tblGrid>
      <w:tr>
        <w:trPr>
          <w:jc w:val="center"/>
          <w:trHeight w:val="881"/>
        </w:trPr>
        <w:tc>
          <w:tcPr>
            <w:gridSpan w:val="4"/>
            <w:tcBorders>
              <w:top w:val="single" w:color="000000" w:sz="4" w:space="0"/>
              <w:left w:val="single" w:color="000000" w:sz="4" w:space="0"/>
              <w:bottom w:val="single" w:color="000000" w:sz="4" w:space="0"/>
              <w:right w:val="single" w:color="000000" w:sz="4" w:space="0"/>
            </w:tcBorders>
            <w:tcW w:w="9297"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三标段共</w:t>
            </w:r>
            <w:r>
              <w:rPr>
                <w:rFonts w:hint="eastAsia" w:ascii="宋体" w:hAnsi="宋体" w:cs="宋体"/>
                <w:b/>
                <w:bCs/>
                <w:color w:val="auto"/>
                <w:sz w:val="24"/>
                <w:szCs w:val="24"/>
                <w:highlight w:val="none"/>
                <w:lang w:val="en-US" w:eastAsia="zh-CN" w:bidi="ar"/>
              </w:rPr>
              <w:t xml:space="preserve">48</w:t>
            </w:r>
            <w:r>
              <w:rPr>
                <w:rFonts w:hint="eastAsia" w:ascii="宋体" w:hAnsi="宋体" w:cs="宋体"/>
                <w:b/>
                <w:bCs/>
                <w:color w:val="auto"/>
                <w:sz w:val="24"/>
                <w:szCs w:val="24"/>
                <w:highlight w:val="none"/>
                <w:lang w:bidi="ar"/>
              </w:rPr>
              <w:t xml:space="preserve">家企业，标段金额</w:t>
            </w:r>
            <w:r>
              <w:rPr>
                <w:rFonts w:hint="eastAsia" w:ascii="宋体" w:hAnsi="宋体" w:cs="宋体"/>
                <w:b/>
                <w:bCs/>
                <w:color w:val="auto"/>
                <w:sz w:val="24"/>
                <w:szCs w:val="24"/>
                <w:highlight w:val="none"/>
                <w:lang w:val="en-US" w:eastAsia="zh-CN" w:bidi="ar"/>
              </w:rPr>
              <w:t xml:space="preserve">60</w:t>
            </w:r>
            <w:r>
              <w:rPr>
                <w:rFonts w:hint="eastAsia" w:ascii="宋体" w:hAnsi="宋体" w:cs="宋体"/>
                <w:b/>
                <w:bCs/>
                <w:color w:val="auto"/>
                <w:sz w:val="24"/>
                <w:szCs w:val="24"/>
                <w:highlight w:val="none"/>
                <w:lang w:bidi="ar"/>
              </w:rPr>
              <w:t xml:space="preserve">万</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无锡威孚环保催化剂有限公司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强茂电子（无锡）有限公司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无锡夏普电子元器件有限公司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无锡华友微电子有限公司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松下</w:t>
            </w:r>
            <w:r>
              <w:rPr>
                <w:rFonts w:hint="eastAsia" w:ascii="宋体" w:hAnsi="宋体" w:cs="宋体"/>
                <w:i w:val="0"/>
                <w:iCs w:val="0"/>
                <w:color w:val="auto"/>
                <w:sz w:val="24"/>
                <w:szCs w:val="24"/>
                <w:highlight w:val="none"/>
                <w:u w:val="none"/>
                <w:lang w:val="en-US" w:eastAsia="zh-CN" w:bidi="ar"/>
              </w:rPr>
              <w:t xml:space="preserve">新</w:t>
            </w:r>
            <w:r>
              <w:rPr>
                <w:rFonts w:hint="eastAsia" w:ascii="宋体" w:hAnsi="宋体" w:eastAsia="宋体" w:cs="宋体"/>
                <w:i w:val="0"/>
                <w:iCs w:val="0"/>
                <w:color w:val="auto"/>
                <w:sz w:val="24"/>
                <w:szCs w:val="24"/>
                <w:highlight w:val="none"/>
                <w:u w:val="none"/>
                <w:lang w:val="en-US" w:eastAsia="zh-CN" w:bidi="ar"/>
              </w:rPr>
              <w:t xml:space="preserve">能源（无锡）有限公司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无锡威孚高科技集团股份有限公司（汽车柴油系统事业部）</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无锡吴越物芯科技有限公司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西门子中压开关技术（无锡）有限公司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洋马农机（中国）有限公司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无锡华鹏瓶盖有限公司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慕斯达渔具（无锡）有限公司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江苏邦泽生物医药技术股份有限公司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无锡村田电子有限公司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住友电工运泰克（无锡）有限公司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尼吉康电子（无锡）有限公司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住电粉末冶金（无锡）有限公司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阿斯利康制药有限公司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SK海力士半导体（中国）有限公司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约克（无锡）空调冷冻设备有限公司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无锡阿尔卑斯电子有限公司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爱普生精密光电（无锡）有限公司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村田新能源（无锡）有限公司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康明斯发电机技术（中国）有限公司湘江工厂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无锡光群雷射科技有限公司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海太半导体（无锡）有限公司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上汽英飞凌汽车功率半导体（上海）有限公司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无锡德宝水务投资有限公司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永得利科技（无锡）有限公司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纽迪希亚制药（无锡）有限公司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无锡开益禧半导体有限公司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英飞凌科技（无锡）有限公司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希捷国际科技（无锡）有限公司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联合汽车电子有限公司无锡厂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江苏艾尔康生物医药科技有限公司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液化空气（无锡）工业气体有限公司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埃梯梯精密机械制造（无锡）有限公司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合田再生资源无锡有限公司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光大绿色环保科技（无锡）有限公司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无锡正大生物股份有限公司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江苏绿平环保科技有限公司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无锡圣浤环保科技有限公司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利昌工业（无锡）化成有限公司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无锡鸿邦环保科技有限公司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无锡蓝天燃机热电有限公司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无锡中升之星汽车销售服务有限公司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无锡斯考尔自动控制设备有限公司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江森自控空调冷冻设备（无锡）有限公司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阿斯利康(无锡)贸易有限公司</w:t>
            </w:r>
            <w:r/>
          </w:p>
        </w:tc>
      </w:tr>
    </w:tbl>
    <w:p>
      <w:pPr>
        <w:pStyle w:val="705"/>
        <w:ind w:left="0" w:firstLine="0"/>
        <w:rPr>
          <w:rFonts w:hint="default"/>
          <w:color w:val="auto"/>
          <w:highlight w:val="none"/>
          <w:lang w:val="en-US" w:eastAsia="zh-CN"/>
        </w:rPr>
      </w:pPr>
      <w:r>
        <w:rPr>
          <w:rFonts w:hint="default"/>
          <w:color w:val="auto"/>
          <w:highlight w:val="none"/>
          <w:lang w:val="en-US" w:eastAsia="zh-CN"/>
        </w:rPr>
      </w:r>
      <w:r/>
    </w:p>
    <w:p>
      <w:pPr>
        <w:pStyle w:val="705"/>
        <w:ind w:left="0" w:firstLine="0"/>
        <w:rPr>
          <w:rFonts w:hint="default"/>
          <w:color w:val="auto"/>
          <w:highlight w:val="none"/>
          <w:lang w:val="en-US" w:eastAsia="zh-CN"/>
        </w:rPr>
      </w:pPr>
      <w:r>
        <w:rPr>
          <w:rFonts w:hint="default"/>
          <w:color w:val="auto"/>
          <w:highlight w:val="none"/>
          <w:lang w:val="en-US" w:eastAsia="zh-CN"/>
        </w:rPr>
      </w:r>
      <w:r/>
    </w:p>
    <w:p>
      <w:pPr>
        <w:pStyle w:val="705"/>
        <w:ind w:left="0" w:firstLine="0"/>
        <w:rPr>
          <w:rFonts w:hint="default"/>
          <w:color w:val="auto"/>
          <w:highlight w:val="none"/>
          <w:lang w:val="en-US" w:eastAsia="zh-CN"/>
        </w:rPr>
      </w:pPr>
      <w:r>
        <w:rPr>
          <w:rFonts w:hint="default"/>
          <w:color w:val="auto"/>
          <w:highlight w:val="none"/>
          <w:lang w:val="en-US" w:eastAsia="zh-CN"/>
        </w:rPr>
      </w:r>
      <w:r/>
    </w:p>
    <w:p>
      <w:pPr>
        <w:pStyle w:val="705"/>
        <w:ind w:left="0" w:firstLine="0"/>
        <w:rPr>
          <w:rFonts w:hint="default"/>
          <w:color w:val="auto"/>
          <w:highlight w:val="none"/>
          <w:lang w:val="en-US" w:eastAsia="zh-CN"/>
        </w:rPr>
      </w:pPr>
      <w:r>
        <w:rPr>
          <w:rFonts w:hint="default"/>
          <w:color w:val="auto"/>
          <w:highlight w:val="none"/>
          <w:lang w:val="en-US" w:eastAsia="zh-CN"/>
        </w:rPr>
      </w:r>
      <w:r/>
    </w:p>
    <w:p>
      <w:pPr>
        <w:pStyle w:val="705"/>
        <w:ind w:left="0" w:firstLine="0"/>
        <w:rPr>
          <w:rFonts w:hint="default"/>
          <w:color w:val="auto"/>
          <w:highlight w:val="none"/>
          <w:lang w:val="en-US" w:eastAsia="zh-CN"/>
        </w:rPr>
      </w:pPr>
      <w:r>
        <w:rPr>
          <w:rFonts w:hint="default"/>
          <w:color w:val="auto"/>
          <w:highlight w:val="none"/>
          <w:lang w:val="en-US" w:eastAsia="zh-CN"/>
        </w:rPr>
      </w:r>
      <w:r/>
    </w:p>
    <w:tbl>
      <w:tblPr>
        <w:tblStyle w:val="704"/>
        <w:tblW w:w="9216" w:type="dxa"/>
        <w:jc w:val="center"/>
        <w:tblLayout w:type="fixed"/>
        <w:tblCellMar>
          <w:left w:w="108" w:type="dxa"/>
          <w:top w:w="0" w:type="dxa"/>
          <w:right w:w="108" w:type="dxa"/>
          <w:bottom w:w="0" w:type="dxa"/>
        </w:tblCellMar>
        <w:tblLook w:val="04A0" w:firstRow="1" w:lastRow="0" w:firstColumn="1" w:lastColumn="0" w:noHBand="0" w:noVBand="1"/>
      </w:tblPr>
      <w:tblGrid>
        <w:gridCol w:w="955"/>
        <w:gridCol w:w="3533"/>
        <w:gridCol w:w="878"/>
        <w:gridCol w:w="3850"/>
      </w:tblGrid>
      <w:tr>
        <w:trPr>
          <w:jc w:val="center"/>
          <w:trHeight w:val="881"/>
        </w:trPr>
        <w:tc>
          <w:tcPr>
            <w:gridSpan w:val="4"/>
            <w:tcBorders>
              <w:top w:val="single" w:color="000000" w:sz="4" w:space="0"/>
              <w:left w:val="single" w:color="000000" w:sz="4" w:space="0"/>
              <w:bottom w:val="single" w:color="000000" w:sz="4" w:space="0"/>
              <w:right w:val="single" w:color="000000" w:sz="4" w:space="0"/>
            </w:tcBorders>
            <w:tcW w:w="9216"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四标段共</w:t>
            </w:r>
            <w:r>
              <w:rPr>
                <w:rFonts w:hint="eastAsia" w:ascii="宋体" w:hAnsi="宋体" w:cs="宋体"/>
                <w:b/>
                <w:bCs/>
                <w:color w:val="auto"/>
                <w:sz w:val="24"/>
                <w:szCs w:val="24"/>
                <w:highlight w:val="none"/>
                <w:lang w:val="en-US" w:eastAsia="zh-CN" w:bidi="ar"/>
              </w:rPr>
              <w:t xml:space="preserve">56</w:t>
            </w:r>
            <w:r>
              <w:rPr>
                <w:rFonts w:hint="eastAsia" w:ascii="宋体" w:hAnsi="宋体" w:eastAsia="宋体" w:cs="宋体"/>
                <w:b/>
                <w:bCs/>
                <w:color w:val="auto"/>
                <w:sz w:val="24"/>
                <w:szCs w:val="24"/>
                <w:highlight w:val="none"/>
                <w:lang w:bidi="ar"/>
              </w:rPr>
              <w:t xml:space="preserve">家企业，标段金额</w:t>
            </w:r>
            <w:r>
              <w:rPr>
                <w:rFonts w:hint="eastAsia" w:ascii="宋体" w:hAnsi="宋体" w:eastAsia="宋体" w:cs="宋体"/>
                <w:b/>
                <w:bCs/>
                <w:color w:val="auto"/>
                <w:sz w:val="24"/>
                <w:szCs w:val="24"/>
                <w:highlight w:val="none"/>
                <w:lang w:val="en-US" w:eastAsia="zh-CN" w:bidi="ar"/>
              </w:rPr>
              <w:t xml:space="preserve">75</w:t>
            </w:r>
            <w:r>
              <w:rPr>
                <w:rFonts w:hint="eastAsia" w:ascii="宋体" w:hAnsi="宋体" w:eastAsia="宋体" w:cs="宋体"/>
                <w:b/>
                <w:bCs/>
                <w:color w:val="auto"/>
                <w:sz w:val="24"/>
                <w:szCs w:val="24"/>
                <w:highlight w:val="none"/>
                <w:lang w:bidi="ar"/>
              </w:rPr>
              <w:t xml:space="preserve">万</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企业名称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企业名称</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rPr>
              <w:t xml:space="preserve">无锡市驰源钢管有限公司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江苏中通汽车内饰材料有限公司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rPr>
              <w:t xml:space="preserve">无锡丽芯科技有限公司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江苏西联环保科技有限公司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rPr>
              <w:t xml:space="preserve">约克（无锡）空调冷冻设备有限公司鸿山分公司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无锡延嘉物资再生利用有限公司</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无锡阿尔梅新材料有限公司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rPr>
              <w:t xml:space="preserve">无锡联合包装有限公司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汉廷能源科技(无锡)有限公司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阿特拉斯.科普柯(无锡)压缩机有限公司飞凤路工厂</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力特半导体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无锡深南电路有限公司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梯爱司新材料科技（无锡）有限公司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天津市金桥焊材集团无锡有限公司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无锡创景制衣有限公司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无锡动力电池再生技术有限公司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无锡航亚科技股份有限公司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无锡金峰水泥有限公司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无锡科里斯特科技有限公司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无锡市硕阳不锈钢有限公司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无锡五冶新材科技有限公司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无锡新和信精密机械配件有限公司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易客发（无锡）影像新材科技有限公司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无锡飞翎电子有限公司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无锡盟创网络科技有限公司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无锡全邦能源科技有限公司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无锡英菲感知技术有限公司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微密科技（无锡）有限公司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国宝动力（无锡）有限公司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华进半导体封装先导技术研发中心有限公司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帝业技凯（无锡）精密工业有限公司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无锡小天鹅电器有限公司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无锡时代天使生物科技有限公司(创美基地)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罗益（无锡）生物制药有限公司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无锡济煜山禾药业股份有限公司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无锡东元电机有限公司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贵弥功（无锡）有限公司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鑫谷和金属（无锡）有限公司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无锡市三凤桥食品有限责任公司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希门凯电子（无锡）有限公司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伊格尔机械密封（无锡）有限公司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敦南科技（无锡）有限公司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无锡威孚精密机械制造股份有限公司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无锡中微掩模电子有限公司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北京中石伟业科技无锡有限公司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江苏亚太航空科技有限公司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江苏亚太轻合金科技股份有限公司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default" w:ascii="宋体" w:hAnsi="宋体" w:eastAsia="宋体" w:cs="宋体"/>
                <w:i w:val="0"/>
                <w:iCs w:val="0"/>
                <w:color w:val="auto"/>
                <w:sz w:val="24"/>
                <w:szCs w:val="24"/>
                <w:highlight w:val="none"/>
                <w:u w:val="none"/>
                <w:lang w:val="en-US" w:eastAsia="zh-CN" w:bidi="ar"/>
              </w:rPr>
              <w:t xml:space="preserve">博世动力总成有限公司里河路厂区</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博尔豪夫（中国）紧固件有限公司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无锡博达新能科技有限公司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无锡天龙锻造有限公司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格林美（无锡）能源材料有限公司南厂区</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无锡市高新水务有限公司硕放水处理厂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无锡市水务集团有限公司太湖新城污水处理厂（新厂）</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无锡市水务集团有限公司太湖新城污水处理厂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无锡市高新水务有限公司新城水处理厂</w:t>
            </w:r>
            <w:r/>
          </w:p>
        </w:tc>
      </w:tr>
    </w:tbl>
    <w:p>
      <w:pPr>
        <w:pStyle w:val="705"/>
        <w:ind w:left="0" w:firstLine="0"/>
        <w:rPr>
          <w:rFonts w:hint="default"/>
          <w:color w:val="auto"/>
          <w:highlight w:val="none"/>
          <w:lang w:val="en-US" w:eastAsia="zh-CN"/>
        </w:rPr>
      </w:pPr>
      <w:r>
        <w:rPr>
          <w:rFonts w:hint="default"/>
          <w:color w:val="auto"/>
          <w:highlight w:val="none"/>
          <w:lang w:val="en-US" w:eastAsia="zh-CN"/>
        </w:rPr>
      </w:r>
      <w:r/>
    </w:p>
    <w:p>
      <w:pPr>
        <w:ind w:firstLine="482"/>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三、项目预算及最高限价</w:t>
      </w:r>
      <w:r/>
    </w:p>
    <w:p>
      <w:pPr>
        <w:ind w:firstLine="480"/>
        <w:jc w:val="left"/>
        <w:spacing w:before="12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1.项目预算：总预算为人民币300万元。</w:t>
      </w:r>
      <w:r>
        <w:rPr>
          <w:rFonts w:hint="eastAsia" w:ascii="宋体" w:hAnsi="宋体" w:eastAsia="宋体" w:cs="宋体"/>
          <w:color w:val="auto"/>
          <w:sz w:val="24"/>
          <w:szCs w:val="24"/>
          <w:highlight w:val="none"/>
          <w:lang w:val="en-US" w:eastAsia="zh-CN" w:bidi="ar-SA"/>
        </w:rPr>
        <w:t xml:space="preserve">其中一标段85万元；二标段80万元；</w:t>
      </w:r>
      <w:r>
        <w:rPr>
          <w:rFonts w:hint="eastAsia" w:ascii="宋体" w:hAnsi="宋体" w:eastAsia="宋体" w:cs="宋体"/>
          <w:color w:val="auto"/>
          <w:sz w:val="24"/>
          <w:szCs w:val="24"/>
          <w:highlight w:val="none"/>
          <w:lang w:val="en-US" w:eastAsia="zh-CN" w:bidi="ar-SA"/>
        </w:rPr>
        <w:t xml:space="preserve">三标段60万元；四标段75万元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（上述每个标段的</w:t>
      </w:r>
      <w:r>
        <w:rPr>
          <w:rFonts w:hint="eastAsia" w:ascii="宋体" w:hAnsi="宋体" w:eastAsia="宋体" w:cs="宋体"/>
          <w:bCs/>
          <w:color w:val="auto"/>
          <w:sz w:val="24"/>
          <w:szCs w:val="24"/>
          <w:highlight w:val="none"/>
          <w:lang w:val="en-US" w:eastAsia="zh-CN" w:bidi="ar-SA"/>
        </w:rPr>
        <w:t xml:space="preserve">限价金额</w:t>
      </w:r>
      <w:r>
        <w:rPr>
          <w:rFonts w:hint="eastAsia" w:ascii="宋体" w:hAnsi="宋体" w:eastAsia="宋体" w:cs="宋体"/>
          <w:bCs/>
          <w:color w:val="auto"/>
          <w:sz w:val="24"/>
          <w:szCs w:val="24"/>
          <w:highlight w:val="none"/>
          <w:lang w:val="en-US" w:eastAsia="zh-CN" w:bidi="ar-SA"/>
        </w:rPr>
        <w:t xml:space="preserve">根据</w:t>
      </w:r>
      <w:r>
        <w:rPr>
          <w:rFonts w:hint="eastAsia" w:ascii="宋体" w:hAnsi="宋体" w:eastAsia="宋体" w:cs="宋体"/>
          <w:color w:val="auto"/>
          <w:sz w:val="24"/>
          <w:szCs w:val="24"/>
          <w:highlight w:val="none"/>
          <w:lang w:val="en-US" w:eastAsia="zh-CN" w:bidi="ar-SA"/>
        </w:rPr>
        <w:t xml:space="preserve">《江苏省环境监测专业服务收费标准》</w:t>
      </w:r>
      <w:r>
        <w:rPr>
          <w:rFonts w:hint="eastAsia" w:ascii="宋体" w:hAnsi="宋体" w:eastAsia="宋体" w:cs="宋体"/>
          <w:color w:val="auto"/>
          <w:sz w:val="24"/>
          <w:szCs w:val="24"/>
          <w:highlight w:val="none"/>
          <w:lang w:val="en-US" w:eastAsia="zh-CN" w:bidi="ar-SA"/>
        </w:rPr>
        <w:t xml:space="preserve">规定的</w:t>
      </w:r>
      <w:r>
        <w:rPr>
          <w:rFonts w:hint="eastAsia" w:ascii="宋体" w:hAnsi="宋体" w:cs="宋体"/>
          <w:color w:val="auto"/>
          <w:sz w:val="24"/>
          <w:szCs w:val="24"/>
          <w:highlight w:val="none"/>
          <w:lang w:val="en-US" w:eastAsia="zh-CN" w:bidi="ar-SA"/>
        </w:rPr>
        <w:t xml:space="preserve">50</w:t>
      </w:r>
      <w:r>
        <w:rPr>
          <w:rFonts w:hint="eastAsia" w:ascii="宋体" w:hAnsi="宋体" w:eastAsia="宋体" w:cs="宋体"/>
          <w:color w:val="auto"/>
          <w:sz w:val="24"/>
          <w:szCs w:val="24"/>
          <w:highlight w:val="none"/>
          <w:lang w:val="en-US" w:eastAsia="zh-CN" w:bidi="ar-SA"/>
        </w:rPr>
        <w:t xml:space="preserve">%来测算所得</w:t>
      </w:r>
      <w:r>
        <w:rPr>
          <w:rFonts w:hint="eastAsia" w:ascii="宋体" w:hAnsi="宋体" w:eastAsia="宋体" w:cs="宋体"/>
          <w:bCs/>
          <w:color w:val="auto"/>
          <w:sz w:val="24"/>
          <w:szCs w:val="24"/>
          <w:highlight w:val="none"/>
          <w:lang w:val="en-US" w:eastAsia="zh-CN" w:bidi="ar-SA"/>
        </w:rPr>
        <w:t xml:space="preserve">）</w:t>
      </w:r>
      <w:r/>
    </w:p>
    <w:p>
      <w:pPr>
        <w:ind w:firstLine="480"/>
        <w:jc w:val="left"/>
        <w:spacing w:before="12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本项目采用固定折扣率招标，最终确定4家成交供应商，供应商以《江苏省环境监测专业服务收费标准》（苏价费〔2006〕397号）单价为依据，在此基础上进行优惠率报价。最终按确认的业务量结算，不再增加其他费用。</w:t>
      </w:r>
      <w:r/>
    </w:p>
    <w:p>
      <w:pPr>
        <w:ind w:firstLine="482"/>
        <w:jc w:val="both"/>
        <w:spacing w:line="360" w:lineRule="auto"/>
        <w:widowControl w:val="off"/>
        <w:tabs>
          <w:tab w:val="left" w:pos="2444" w:leader="none"/>
        </w:tabs>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四、采购内容：</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1、项目概况</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1）重点排污单位专项监测服务（实际监测名单及范围由无锡市新吴生态环境局根据工作需要适时调整）</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2）业务范围：委托监测、分析</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3）服务期限：1年；</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4）结算方式：</w:t>
      </w:r>
      <w:r>
        <w:rPr>
          <w:rFonts w:hint="eastAsia" w:ascii="宋体" w:hAnsi="宋体" w:eastAsia="宋体" w:cs="宋体"/>
          <w:bCs/>
          <w:color w:val="auto"/>
          <w:sz w:val="24"/>
          <w:szCs w:val="24"/>
          <w:highlight w:val="none"/>
          <w:lang w:val="en-US" w:eastAsia="zh-CN" w:bidi="ar-SA"/>
        </w:rPr>
        <w:t xml:space="preserve">本项目按</w:t>
      </w:r>
      <w:r>
        <w:rPr>
          <w:rFonts w:hint="eastAsia" w:ascii="宋体" w:hAnsi="宋体" w:cs="宋体"/>
          <w:bCs/>
          <w:color w:val="auto"/>
          <w:sz w:val="24"/>
          <w:szCs w:val="24"/>
          <w:highlight w:val="none"/>
          <w:lang w:val="en-US" w:eastAsia="zh-CN" w:bidi="ar-SA"/>
        </w:rPr>
        <w:t xml:space="preserve">实际合同中标金额</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202</w:t>
      </w:r>
      <w:r>
        <w:rPr>
          <w:rFonts w:hint="eastAsia" w:ascii="宋体" w:hAnsi="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lang w:val="en-US" w:eastAsia="zh-CN" w:bidi="ar-SA"/>
        </w:rPr>
        <w:t xml:space="preserve">年内</w:t>
      </w:r>
      <w:r>
        <w:rPr>
          <w:rFonts w:hint="eastAsia" w:ascii="宋体" w:hAnsi="宋体" w:eastAsia="宋体" w:cs="宋体"/>
          <w:bCs/>
          <w:color w:val="auto"/>
          <w:sz w:val="24"/>
          <w:szCs w:val="24"/>
          <w:highlight w:val="none"/>
          <w:lang w:val="en-US" w:eastAsia="zh-CN" w:bidi="ar-SA"/>
        </w:rPr>
        <w:t xml:space="preserve">支付约</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0%监测经费</w:t>
      </w:r>
      <w:r>
        <w:rPr>
          <w:rFonts w:hint="eastAsia" w:ascii="宋体" w:hAnsi="宋体" w:eastAsia="宋体" w:cs="宋体"/>
          <w:bCs/>
          <w:color w:val="auto"/>
          <w:sz w:val="24"/>
          <w:szCs w:val="24"/>
          <w:highlight w:val="none"/>
          <w:lang w:val="en-US" w:eastAsia="zh-CN" w:bidi="ar-SA"/>
        </w:rPr>
        <w:t xml:space="preserve">（根据最终中标价格适当微调），</w:t>
      </w:r>
      <w:r>
        <w:rPr>
          <w:rFonts w:hint="eastAsia" w:ascii="宋体" w:hAnsi="宋体" w:eastAsia="宋体" w:cs="宋体"/>
          <w:bCs/>
          <w:color w:val="auto"/>
          <w:sz w:val="24"/>
          <w:szCs w:val="24"/>
          <w:highlight w:val="none"/>
          <w:lang w:val="en-US" w:eastAsia="zh-CN" w:bidi="ar-SA"/>
        </w:rPr>
        <w:t xml:space="preserve">202</w:t>
      </w:r>
      <w:r>
        <w:rPr>
          <w:rFonts w:hint="eastAsia" w:ascii="宋体" w:hAnsi="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lang w:val="en-US" w:eastAsia="zh-CN" w:bidi="ar-SA"/>
        </w:rPr>
        <w:t xml:space="preserve">合同到期后，根据项目开展情况及质量考核结果，支付剩余尾款。</w:t>
      </w:r>
      <w:r/>
    </w:p>
    <w:p>
      <w:pPr>
        <w:ind w:firstLine="482"/>
        <w:jc w:val="both"/>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cs="宋体"/>
          <w:bCs/>
          <w:color w:val="auto"/>
          <w:sz w:val="24"/>
          <w:szCs w:val="24"/>
          <w:highlight w:val="none"/>
          <w:lang w:val="en-US" w:eastAsia="zh-CN" w:bidi="ar-SA"/>
        </w:rPr>
        <w:t xml:space="preserve">技术</w:t>
      </w:r>
      <w:r>
        <w:rPr>
          <w:rFonts w:hint="eastAsia" w:ascii="宋体" w:hAnsi="宋体" w:eastAsia="宋体" w:cs="宋体"/>
          <w:bCs/>
          <w:color w:val="auto"/>
          <w:sz w:val="24"/>
          <w:szCs w:val="24"/>
          <w:highlight w:val="none"/>
          <w:lang w:val="en-US" w:eastAsia="zh-CN" w:bidi="ar-SA"/>
        </w:rPr>
        <w:t xml:space="preserve">服务：合同履约期间，</w:t>
      </w:r>
      <w:r>
        <w:rPr>
          <w:rFonts w:hint="eastAsia" w:ascii="宋体" w:hAnsi="宋体" w:cs="宋体"/>
          <w:bCs/>
          <w:color w:val="auto"/>
          <w:sz w:val="24"/>
          <w:szCs w:val="24"/>
          <w:highlight w:val="none"/>
          <w:lang w:val="en-US" w:eastAsia="zh-CN" w:bidi="ar-SA"/>
        </w:rPr>
        <w:t xml:space="preserve">项目供应商按照甲方要求，在开展监测前进行现场勘察并制定监测方案，报甲方审核；供应商应为本项目配备专门的技术人员及车辆等，保障本项目顺利开展。技术</w:t>
      </w:r>
      <w:r>
        <w:rPr>
          <w:rFonts w:hint="eastAsia" w:ascii="宋体" w:hAnsi="宋体" w:eastAsia="宋体" w:cs="宋体"/>
          <w:bCs/>
          <w:color w:val="auto"/>
          <w:sz w:val="24"/>
          <w:szCs w:val="24"/>
          <w:highlight w:val="none"/>
          <w:lang w:val="en-US" w:eastAsia="zh-CN" w:bidi="ar-SA"/>
        </w:rPr>
        <w:t xml:space="preserve">人员的人身安全及其他相关责任由中标单位负责。</w:t>
      </w:r>
      <w:r/>
    </w:p>
    <w:p>
      <w:pPr>
        <w:ind w:firstLine="480"/>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2、社会实验室应符合如下要求：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1）遵守国家法律法规的相关规定，</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年内</w:t>
      </w:r>
      <w:r>
        <w:rPr>
          <w:rFonts w:hint="eastAsia" w:ascii="宋体" w:hAnsi="宋体" w:eastAsia="宋体" w:cs="宋体"/>
          <w:color w:val="auto"/>
          <w:sz w:val="24"/>
          <w:szCs w:val="24"/>
          <w:highlight w:val="none"/>
        </w:rPr>
        <w:t xml:space="preserve">无《无锡市企业失信行为联动惩戒实施办法（试行）》中定义的失信行为，</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年内</w:t>
      </w: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eastAsia="zh-CN"/>
        </w:rPr>
        <w:t xml:space="preserve">相关处罚记录。</w:t>
      </w:r>
      <w:r/>
    </w:p>
    <w:p>
      <w:pPr>
        <w:ind w:firstLine="48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2）通过资质认证，获得国家或省级《资质认定计量认证证书》，应标文件中请注明获证日期及认定的环境类监测项目数，具备独立开展环境监测业务的软硬件能力。</w:t>
      </w:r>
      <w:r>
        <w:rPr>
          <w:rFonts w:hint="eastAsia" w:ascii="宋体" w:hAnsi="宋体" w:eastAsia="宋体" w:cs="宋体"/>
          <w:color w:val="auto"/>
          <w:sz w:val="24"/>
          <w:szCs w:val="24"/>
          <w:highlight w:val="none"/>
          <w:lang w:eastAsia="zh-CN"/>
        </w:rPr>
        <w:t xml:space="preserve">中标人应具备</w:t>
      </w:r>
      <w:r>
        <w:rPr>
          <w:rFonts w:hint="eastAsia" w:ascii="宋体" w:hAnsi="宋体" w:eastAsia="宋体" w:cs="宋体"/>
          <w:color w:val="auto"/>
          <w:sz w:val="24"/>
          <w:szCs w:val="24"/>
          <w:highlight w:val="none"/>
          <w:shd w:val="clear" w:color="auto" w:fill="ffffff"/>
          <w:lang w:eastAsia="zh-CN"/>
        </w:rPr>
        <w:t xml:space="preserve">废气、空气</w:t>
      </w:r>
      <w:r>
        <w:rPr>
          <w:rFonts w:hint="eastAsia" w:ascii="宋体" w:hAnsi="宋体" w:eastAsia="宋体" w:cs="宋体"/>
          <w:color w:val="auto"/>
          <w:sz w:val="24"/>
          <w:szCs w:val="24"/>
          <w:highlight w:val="none"/>
          <w:shd w:val="clear" w:color="auto" w:fill="ffffff"/>
        </w:rPr>
        <w:t xml:space="preserve">、水质、土壤</w:t>
      </w:r>
      <w:r>
        <w:rPr>
          <w:rFonts w:hint="eastAsia" w:ascii="宋体" w:hAnsi="宋体" w:eastAsia="宋体" w:cs="宋体"/>
          <w:color w:val="auto"/>
          <w:sz w:val="24"/>
          <w:szCs w:val="24"/>
          <w:highlight w:val="none"/>
          <w:shd w:val="clear" w:color="auto" w:fill="ffffff"/>
          <w:lang w:eastAsia="zh-CN"/>
        </w:rPr>
        <w:t xml:space="preserve">等常规因子监测</w:t>
      </w:r>
      <w:r>
        <w:rPr>
          <w:rFonts w:hint="eastAsia" w:ascii="宋体" w:hAnsi="宋体" w:eastAsia="宋体" w:cs="宋体"/>
          <w:color w:val="auto"/>
          <w:sz w:val="24"/>
          <w:szCs w:val="24"/>
          <w:highlight w:val="none"/>
          <w:shd w:val="clear" w:color="auto" w:fill="ffffff"/>
        </w:rPr>
        <w:t xml:space="preserve">能力</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lang w:eastAsia="zh-CN"/>
        </w:rPr>
        <w:t xml:space="preserve">其中一标段和二标段应</w:t>
      </w:r>
      <w:r>
        <w:rPr>
          <w:rFonts w:hint="eastAsia" w:ascii="宋体" w:hAnsi="宋体" w:eastAsia="宋体" w:cs="宋体"/>
          <w:color w:val="auto"/>
          <w:sz w:val="24"/>
          <w:szCs w:val="24"/>
          <w:highlight w:val="none"/>
          <w:shd w:val="clear" w:color="auto" w:fill="ffffff"/>
        </w:rPr>
        <w:t xml:space="preserve">具备二噁英监测能力</w:t>
      </w:r>
      <w:r>
        <w:rPr>
          <w:rFonts w:hint="eastAsia" w:ascii="宋体" w:hAnsi="宋体" w:eastAsia="宋体" w:cs="宋体"/>
          <w:color w:val="auto"/>
          <w:sz w:val="24"/>
          <w:szCs w:val="24"/>
          <w:highlight w:val="none"/>
          <w:shd w:val="clear" w:color="auto" w:fill="ffffff"/>
          <w:lang w:eastAsia="zh-CN"/>
        </w:rPr>
        <w:t xml:space="preserve">。</w:t>
      </w:r>
      <w:r/>
    </w:p>
    <w:p>
      <w:pPr>
        <w:ind w:firstLine="48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3）监测技术人员接受过与其承担的相应检测活动所必需的教育和培训，具备必要的监测能力及环境检测质量保证与质量控制知识培训，监测技术人员的数量应与开展的环境监测业务工作相适应，满足工作需求。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4）具备承担相应环境监测活动所需的工作场所、设备、设施。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5）具备完善的环境监测技术服务质量管理体系和管理制度，按照要求有效运行质量保证与质量控制制度。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bookmarkStart w:id="9" w:name="OLE_LINK2"/>
      <w:r>
        <w:rPr>
          <w:rFonts w:hint="eastAsia" w:ascii="宋体" w:hAnsi="宋体" w:eastAsia="宋体" w:cs="宋体"/>
          <w:color w:val="auto"/>
          <w:sz w:val="24"/>
          <w:szCs w:val="24"/>
          <w:highlight w:val="none"/>
        </w:rPr>
        <w:t xml:space="preserve">）应标价</w:t>
      </w:r>
      <w:bookmarkEnd w:id="9"/>
      <w:r>
        <w:rPr>
          <w:rFonts w:hint="eastAsia" w:ascii="宋体" w:hAnsi="宋体" w:eastAsia="宋体" w:cs="宋体"/>
          <w:color w:val="auto"/>
          <w:sz w:val="24"/>
          <w:szCs w:val="24"/>
          <w:highlight w:val="none"/>
        </w:rPr>
        <w:t xml:space="preserve">不得高于</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，否则其报价将作无效处理。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3、监测及报送要求：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1）监测要求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1.1监测范围：根据</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无锡市生态环境监测方案》等相关要求，各中标单位负责监测各标段内的废水、废气重点排污单位、部分非重点排污单位（另行下发，根据标段区域划分安排监测），以及涉废气VOCs排放企业、涉重金属行业企业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1.2监测频次：重点排污单位主要污染源废气排口和废水直排口每年监测不少于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次；国家、地方排放标准或相关法律法规、文件中规定的监测频次每年高于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次的，按照规定的频次开展监测；对于存在监测超标、群众投诉及上级部门临时交办等情况的，将适当增加监测频次。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2）工作流程：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委托监测：委托实验室根据新吴生态环境局提供的材料制定监测方案并预算监测费用，经新吴生态环境局批准后实施。委托实验室受新吴生态环境局委托，按照监测方案开展监测工作。监测开展期间须收集企业的基础信息、生产工况等信息，协调各监测方和执法人员，</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实际情况编制企业监测方案并开展监测，按时将监测结果上报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全国污染源监测信息管理与共享平台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测开展或监测报告提交不及时的、平台未填报或未及时填报的，将由采购方根据考核结果扣分。委托实验室按照环境监测相关技术规范要求进行必要的质量控制。整个监测过程必须接受新吴生态环境局的现场监督，接受新吴生态环境局组织的质控检查，服从新吴生态环境局的工作安排。临时监测的内容，根据实际情况由采购人安排中标人开展监测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2.2送样分析：环境检测服务单位根据约定开展来样分析工作，填写样品交接单，按照交接单上的规定管理和分析样品。按照环境监测质量保证的要求进行内部质量控制。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3）数据流程：</w:t>
      </w:r>
      <w:r>
        <w:rPr>
          <w:rFonts w:hint="eastAsia" w:ascii="宋体" w:hAnsi="宋体" w:eastAsia="宋体" w:cs="宋体"/>
          <w:color w:val="auto"/>
          <w:sz w:val="24"/>
          <w:szCs w:val="24"/>
          <w:highlight w:val="none"/>
          <w:lang w:eastAsia="zh-CN"/>
        </w:rPr>
        <w:t xml:space="preserve">环境监测</w:t>
      </w:r>
      <w:r>
        <w:rPr>
          <w:rFonts w:hint="eastAsia" w:ascii="宋体" w:hAnsi="宋体" w:eastAsia="宋体" w:cs="宋体"/>
          <w:color w:val="auto"/>
          <w:sz w:val="24"/>
          <w:szCs w:val="24"/>
          <w:highlight w:val="none"/>
        </w:rPr>
        <w:t xml:space="preserve">服务单位现场监测结束之后按各项任务要求向无锡市新吴生态环境局及时提供监测报告及数据表，必要时提供相关原始记录。特殊项目需放宽时间的要求与无锡市新吴生态环境局协商。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4）业务费支付：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新吴生态环境局在委托实验室监测任务结束后，以</w:t>
      </w:r>
      <w:r>
        <w:rPr>
          <w:rFonts w:hint="eastAsia" w:ascii="宋体" w:hAnsi="宋体" w:eastAsia="宋体" w:cs="宋体"/>
          <w:color w:val="auto"/>
          <w:sz w:val="24"/>
          <w:szCs w:val="24"/>
          <w:highlight w:val="none"/>
          <w:lang w:eastAsia="zh-CN"/>
        </w:rPr>
        <w:t xml:space="preserve">实际中</w:t>
      </w:r>
      <w:r>
        <w:rPr>
          <w:rFonts w:hint="eastAsia" w:ascii="宋体" w:hAnsi="宋体" w:eastAsia="宋体" w:cs="宋体"/>
          <w:color w:val="auto"/>
          <w:sz w:val="24"/>
          <w:szCs w:val="24"/>
          <w:highlight w:val="none"/>
        </w:rPr>
        <w:t xml:space="preserve">标</w:t>
      </w:r>
      <w:r>
        <w:rPr>
          <w:rFonts w:hint="eastAsia" w:ascii="宋体" w:hAnsi="宋体" w:eastAsia="宋体" w:cs="宋体"/>
          <w:color w:val="auto"/>
          <w:sz w:val="24"/>
          <w:szCs w:val="24"/>
          <w:highlight w:val="none"/>
          <w:lang w:eastAsia="zh-CN"/>
        </w:rPr>
        <w:t xml:space="preserve">价格结算</w:t>
      </w:r>
      <w:r>
        <w:rPr>
          <w:rFonts w:hint="eastAsia" w:ascii="宋体" w:hAnsi="宋体" w:eastAsia="宋体" w:cs="宋体"/>
          <w:color w:val="auto"/>
          <w:sz w:val="24"/>
          <w:szCs w:val="24"/>
          <w:highlight w:val="none"/>
        </w:rPr>
        <w:t xml:space="preserve">监测业务服务费。新吴生态环境局根据委托方业务开展的质量情况开展差别化结算，对于未及时完成监测任务及检测质量不合格的，视考核情况扣除服务费。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5）委托监测的责任</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接受委托的委托实验室应确保项目监测质量，按时完成检测报告报送，按时完成监测工作，新吴生态环境局将每月对项目开展情况进行通报，对于超期未完成的监测项目根据考核结果扣除部分监测费用。项目监测应当严格遵守国家的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制度规定、有关执业规范及新吴生态环境局的要求。委托实验室对监测结果的真实性、完整性、可靠性负责。委托实验室的监测数据只向新吴生态环境局提供，不得自行提供给其他单位。对提供不实或内容虚假的监测结果以及自行对外提供监测报告的，除由委托实验室自行承担法律责任外，新吴生态环境局可采取必要措施终止委托监测，情节严重的，依法提请有关部门追究中标供应商和相关责任人的行政及法律责任。</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4、回避原则</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按照相关要求，开展监督监测的中标检测单位不得再参与被监测企业所委托的自行监测任务。</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5、违约责任</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为了确保项目监测质量，新吴生态环境局将组织每年对委托实验室的监测质量等进行综合考核，考核结果将作为下一次选择中标供应商的重要依据。</w:t>
      </w:r>
      <w:r>
        <w:rPr>
          <w:rFonts w:hint="eastAsia" w:ascii="宋体" w:hAnsi="宋体" w:eastAsia="宋体" w:cs="宋体"/>
          <w:color w:val="auto"/>
          <w:sz w:val="24"/>
          <w:highlight w:val="none"/>
        </w:rPr>
        <w:t xml:space="preserve">累计二次考核</w:t>
      </w:r>
      <w:r>
        <w:rPr>
          <w:rFonts w:hint="eastAsia" w:ascii="宋体" w:hAnsi="宋体" w:eastAsia="宋体" w:cs="宋体"/>
          <w:color w:val="auto"/>
          <w:sz w:val="24"/>
          <w:szCs w:val="24"/>
          <w:highlight w:val="none"/>
        </w:rPr>
        <w:t xml:space="preserve">结果不及格的中标供应商，在其后一年内不接受其招标报名。</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社会环境检测机构有下列情况之一的，取消或终止其在区内承担专项环境监测任务的资格，取消下阶段参与无锡市新吴生态环境局组织的环境监测业务投标资格。</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（1）被行业主管部门警告或取消经营资格的；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（2）被江苏省生态环境厅列入第三方机构“黑名单”的；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（3）合同期内，资质未有效衔接导致资质失效的；</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（4）超范围开展环境监测活动的；</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（5）擅自变更、转让、租借定点资格的；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（6）重大事项变更没有及时报告影响环境检测能力的；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（7）编造数据、弄虚作假或者其他影响监测活动客观性、公正性的行为，经查情况属实的；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（8）收到无锡市</w:t>
      </w:r>
      <w:r>
        <w:rPr>
          <w:rFonts w:hint="eastAsia" w:ascii="宋体" w:hAnsi="宋体" w:eastAsia="宋体" w:cs="宋体"/>
          <w:color w:val="auto"/>
          <w:sz w:val="24"/>
          <w:szCs w:val="24"/>
          <w:highlight w:val="none"/>
          <w:lang w:eastAsia="zh-CN"/>
        </w:rPr>
        <w:t xml:space="preserve">生态</w:t>
      </w:r>
      <w:r>
        <w:rPr>
          <w:rFonts w:hint="eastAsia" w:ascii="宋体" w:hAnsi="宋体" w:eastAsia="宋体" w:cs="宋体"/>
          <w:color w:val="auto"/>
          <w:sz w:val="24"/>
          <w:szCs w:val="24"/>
          <w:highlight w:val="none"/>
        </w:rPr>
        <w:t xml:space="preserve">环境</w:t>
      </w:r>
      <w:r>
        <w:rPr>
          <w:rFonts w:hint="eastAsia" w:ascii="宋体" w:hAnsi="宋体" w:eastAsia="宋体" w:cs="宋体"/>
          <w:color w:val="auto"/>
          <w:sz w:val="24"/>
          <w:szCs w:val="24"/>
          <w:highlight w:val="none"/>
          <w:lang w:eastAsia="zh-CN"/>
        </w:rPr>
        <w:t xml:space="preserve">监测监控中心</w:t>
      </w:r>
      <w:r>
        <w:rPr>
          <w:rFonts w:hint="eastAsia" w:ascii="宋体" w:hAnsi="宋体" w:eastAsia="宋体" w:cs="宋体"/>
          <w:color w:val="auto"/>
          <w:sz w:val="24"/>
          <w:szCs w:val="24"/>
          <w:highlight w:val="none"/>
        </w:rPr>
        <w:t xml:space="preserve">新吴</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中心累计三次书面警告；</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（9）《客户满意度调查表》评价累计三次不满意，经查情况属实。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中标单位在开展业务期间，被行业主管部门暂停业务或取消经营资格的，监测任务经甲方确认同意后，自行分包给其他有资质的社会化第三方检测机构开展，产生的监测费用由中标单位支付给分包单位。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对于中标方在合同期内发生上述条款中属于重大责任事故造成不良影响的，事故发生起三年内不得再次参与本单位项目投标。（解释权归无锡市新吴生态环境局）</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7、保密要求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（1）保密内容（包括技术信息和经营信息）：包括但不限于监测数据、报告、报表等未经招标人许可不得复印，对履行合同中知晓的全部信息予以保密。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（2）涉密人员范围：中标人所有工作人员及外包/分包工作人员。</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8、免责事项</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若由于相应国家法律法规、地</w:t>
      </w:r>
      <w:r>
        <w:rPr>
          <w:rFonts w:hint="eastAsia" w:ascii="宋体" w:hAnsi="宋体" w:eastAsia="宋体" w:cs="宋体"/>
          <w:color w:val="auto"/>
          <w:sz w:val="24"/>
          <w:szCs w:val="24"/>
          <w:highlight w:val="none"/>
          <w:lang w:eastAsia="zh-CN"/>
        </w:rPr>
        <w:t xml:space="preserve">方性</w:t>
      </w:r>
      <w:r>
        <w:rPr>
          <w:rFonts w:hint="eastAsia" w:ascii="宋体" w:hAnsi="宋体" w:eastAsia="宋体" w:cs="宋体"/>
          <w:color w:val="auto"/>
          <w:sz w:val="24"/>
          <w:szCs w:val="24"/>
          <w:highlight w:val="none"/>
        </w:rPr>
        <w:t xml:space="preserve">法规、行业规章、政策文件等变动造成项目中止，项目参与各方均不承担违约责任</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9、考核办法</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（1）采购人将对中标供应商服务质量、日常作业等进行全过程全方位监管，如发现中标供应商在合同期限内有工作不达标或违约现象发生，采购人将依据合同约定，做出相应的处罚。</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（2）采购人对中标供应商的服务质量实施考核，考核标准详见附件。</w:t>
      </w:r>
      <w:r/>
    </w:p>
    <w:p>
      <w:pPr>
        <w:ind w:firstLine="480"/>
        <w:keepLines w:val="0"/>
        <w:keepNext w:val="0"/>
        <w:pageBreakBefore w:val="0"/>
        <w:spacing w:line="360" w:lineRule="auto"/>
        <w:widowControl w:val="off"/>
        <w:rPr>
          <w:rFonts w:hint="eastAsia" w:ascii="黑体" w:eastAsia="黑体"/>
          <w:bCs/>
          <w:color w:val="auto"/>
          <w:sz w:val="28"/>
          <w:szCs w:val="28"/>
          <w:highlight w:val="none"/>
        </w:rPr>
      </w:pPr>
      <w:r>
        <w:rPr>
          <w:rFonts w:hint="eastAsia" w:ascii="宋体" w:hAnsi="宋体" w:eastAsia="宋体" w:cs="宋体"/>
          <w:color w:val="auto"/>
          <w:sz w:val="24"/>
          <w:highlight w:val="none"/>
        </w:rPr>
        <w:t xml:space="preserve">（3）服务考核处罚标准：采购人对服务项目全面考核，考核扣分数作为最终考核结果。考核采用百分制，满分 100 分。得分85分（含）以上为合格，中标服务费全得；得分在6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分（含）-85分（不含）的，扣除中标服务费的</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0%，并限期整改；得分低于6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分为不合格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扣除中标服务费的20%，并限期整改，整改不到位的采购人有权单方终止合同，并另行选择服务单位。</w:t>
      </w:r>
      <w:bookmarkStart w:id="10" w:name="_Toc5531"/>
      <w:r/>
      <w:bookmarkStart w:id="11" w:name="_Toc32067"/>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560"/>
        <w:jc w:val="center"/>
        <w:spacing w:line="360" w:lineRule="auto"/>
        <w:rPr>
          <w:rFonts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10"/>
      <w:r/>
      <w:bookmarkEnd w:id="11"/>
      <w:r/>
      <w:r/>
    </w:p>
    <w:p>
      <w:pPr>
        <w:ind w:firstLine="482"/>
        <w:keepLines w:val="0"/>
        <w:keepNext w:val="0"/>
        <w:pageBreakBefore w:val="0"/>
        <w:spacing w:line="360" w:lineRule="auto"/>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项目（项目编号：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）实施及有关事项协商一致，共同达成如下协议：</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w:t>
      </w:r>
      <w:r>
        <w:rPr>
          <w:rFonts w:hint="eastAsia" w:ascii="宋体" w:hAnsi="宋体" w:cs="宋体"/>
          <w:bCs/>
          <w:color w:val="auto"/>
          <w:sz w:val="24"/>
          <w:szCs w:val="24"/>
          <w:highlight w:val="none"/>
          <w:u w:val="single"/>
          <w:lang w:bidi="ar"/>
        </w:rPr>
        <w:t xml:space="preserve">                    </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供方（中标方）：</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一、政府采购编号：</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二、采购内容：</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420" w:lineRule="exact"/>
        <w:widowControl w:val="off"/>
        <w:tabs>
          <w:tab w:val="left" w:pos="840" w:leader="none"/>
          <w:tab w:val="left" w:pos="1155" w:leader="none"/>
        </w:tabs>
        <w:rPr>
          <w:rFonts w:ascii="宋体" w:hAnsi="宋体" w:eastAsia="宋体" w:cs="宋体"/>
          <w:bCs/>
          <w:color w:val="auto"/>
          <w:sz w:val="24"/>
          <w:highlight w:val="none"/>
        </w:rPr>
      </w:pPr>
      <w:r>
        <w:rPr>
          <w:rFonts w:hint="eastAsia" w:ascii="宋体" w:hAnsi="宋体" w:cs="宋体"/>
          <w:bCs/>
          <w:color w:val="auto"/>
          <w:sz w:val="24"/>
          <w:szCs w:val="24"/>
          <w:highlight w:val="none"/>
          <w:lang w:bidi="ar"/>
        </w:rPr>
        <w:t xml:space="preserve">三、</w:t>
      </w:r>
      <w:r>
        <w:rPr>
          <w:rFonts w:hint="eastAsia" w:ascii="宋体" w:hAnsi="宋体" w:eastAsia="宋体" w:cs="宋体"/>
          <w:bCs/>
          <w:color w:val="auto"/>
          <w:sz w:val="24"/>
          <w:highlight w:val="none"/>
          <w:u w:val="single"/>
          <w:lang w:val="en-US" w:eastAsia="zh-CN"/>
        </w:rPr>
        <w:t xml:space="preserve">   标段中标金额</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大写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小写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注：最终结算价格按实结算。</w:t>
      </w:r>
      <w:r>
        <w:rPr>
          <w:rFonts w:hint="eastAsia" w:ascii="宋体" w:hAnsi="宋体" w:eastAsia="宋体" w:cs="宋体"/>
          <w:color w:val="auto"/>
          <w:sz w:val="24"/>
          <w:szCs w:val="21"/>
          <w:highlight w:val="none"/>
          <w:lang w:val="en-US" w:eastAsia="zh-CN" w:bidi="ar-SA"/>
        </w:rPr>
        <w:t xml:space="preserve">监测服务费折扣率</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%。以《江苏省环境监测专业服务收费标准》（苏价费〔2006〕397号）为依据。</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四、质量要求及验收标准：</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五、服务期：</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六、服务地点和方式：</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七、服务费支付步骤和办法：</w:t>
      </w:r>
      <w:r>
        <w:rPr>
          <w:rFonts w:hint="eastAsia" w:ascii="宋体" w:hAnsi="宋体" w:eastAsia="宋体" w:cs="宋体"/>
          <w:color w:val="auto"/>
          <w:sz w:val="24"/>
          <w:szCs w:val="24"/>
          <w:highlight w:val="none"/>
          <w:u w:val="single"/>
        </w:rPr>
        <w:t xml:space="preserve">本项目</w:t>
      </w:r>
      <w:r>
        <w:rPr>
          <w:rFonts w:hint="eastAsia" w:ascii="宋体" w:hAnsi="宋体" w:eastAsia="宋体" w:cs="宋体"/>
          <w:color w:val="auto"/>
          <w:sz w:val="24"/>
          <w:szCs w:val="24"/>
          <w:highlight w:val="none"/>
          <w:u w:val="single"/>
        </w:rPr>
        <w:t xml:space="preserve">按实际合同中标金额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年内</w:t>
      </w:r>
      <w:r>
        <w:rPr>
          <w:rFonts w:hint="eastAsia" w:ascii="宋体" w:hAnsi="宋体" w:eastAsia="宋体" w:cs="宋体"/>
          <w:color w:val="auto"/>
          <w:sz w:val="24"/>
          <w:szCs w:val="24"/>
          <w:highlight w:val="none"/>
          <w:u w:val="single"/>
        </w:rPr>
        <w:t xml:space="preserve">支付约</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0%监测经费</w:t>
      </w:r>
      <w:r>
        <w:rPr>
          <w:rFonts w:hint="eastAsia" w:ascii="宋体" w:hAnsi="宋体" w:eastAsia="宋体" w:cs="宋体"/>
          <w:color w:val="auto"/>
          <w:sz w:val="24"/>
          <w:szCs w:val="24"/>
          <w:highlight w:val="none"/>
          <w:u w:val="single"/>
        </w:rPr>
        <w:t xml:space="preserve">（根据</w:t>
      </w:r>
      <w:r>
        <w:rPr>
          <w:rFonts w:hint="eastAsia" w:ascii="宋体" w:hAnsi="宋体" w:cs="宋体"/>
          <w:color w:val="auto"/>
          <w:sz w:val="24"/>
          <w:szCs w:val="24"/>
          <w:highlight w:val="none"/>
          <w:u w:val="single"/>
          <w:lang w:eastAsia="zh-CN"/>
        </w:rPr>
        <w:t xml:space="preserve">实际</w:t>
      </w:r>
      <w:r>
        <w:rPr>
          <w:rFonts w:hint="eastAsia" w:ascii="宋体" w:hAnsi="宋体" w:eastAsia="宋体" w:cs="宋体"/>
          <w:color w:val="auto"/>
          <w:sz w:val="24"/>
          <w:szCs w:val="24"/>
          <w:highlight w:val="none"/>
          <w:u w:val="single"/>
        </w:rPr>
        <w:t xml:space="preserve">中标价格适当微调），</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rPr>
        <w:t xml:space="preserve">合同到期后，根据项目开展情况及质量考核结果，支付剩余尾款。</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八、违约责任：</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 xml:space="preserve">九、解决争议的方式：</w:t>
      </w:r>
      <w:r>
        <w:rPr>
          <w:rFonts w:hint="eastAsia" w:ascii="宋体" w:hAnsi="宋体" w:cs="宋体"/>
          <w:color w:val="auto"/>
          <w:sz w:val="24"/>
          <w:szCs w:val="24"/>
          <w:highlight w:val="none"/>
          <w:u w:val="single"/>
          <w:lang w:bidi="ar"/>
        </w:rPr>
        <w:t xml:space="preserve">                                                      </w:t>
      </w:r>
      <w:r/>
    </w:p>
    <w:p>
      <w:pPr>
        <w:ind w:firstLine="480"/>
        <w:jc w:val="left"/>
        <w:keepLines w:val="0"/>
        <w:keepNext w:val="0"/>
        <w:pageBreakBefore w:val="0"/>
        <w:spacing w:line="360" w:lineRule="auto"/>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十、其他事项：</w:t>
      </w:r>
      <w:r>
        <w:rPr>
          <w:rFonts w:hint="eastAsia" w:ascii="宋体" w:hAnsi="宋体" w:eastAsia="宋体" w:cs="Times New Roman"/>
          <w:bCs/>
          <w:color w:val="auto"/>
          <w:sz w:val="24"/>
          <w:szCs w:val="24"/>
          <w:highlight w:val="none"/>
          <w:u w:val="single"/>
        </w:rPr>
        <w:t xml:space="preserve">（1）保密内容（包括技术信息和经营信息）：包括但不限于监测数据、报告、报表等未经招标人许可不得复印，对履行合同中知晓的全部信息予以保密。（2）涉密人员范围：中标人所有工作人员及外包/分包工作人员。</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十一、合同不可分割部分：招标文件、投标文件、合同条款及中标通知书，供方在投标、评标过程中所作其他有关承诺、声明、书面澄清等均为合同不可分割的部分，与主合同具有同等法律效力。</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十二、合同备案：合同一式五份，供需双方各执二份，见证方一份。</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十三、合同生效：本合同由供需双方签字盖章并经见证后生效。</w:t>
      </w:r>
      <w:r/>
    </w:p>
    <w:p>
      <w:pPr>
        <w:keepLines w:val="0"/>
        <w:keepNext w:val="0"/>
        <w:pageBreakBefore w:val="0"/>
        <w:spacing w:line="360" w:lineRule="auto"/>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需方（采购人）：（盖章）                      供方（中标方）：（盖章）</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法定（授权）代表人：                        法定（授权）代表人：</w:t>
      </w:r>
      <w:r/>
    </w:p>
    <w:p>
      <w:pPr>
        <w:ind w:firstLine="8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年  月  日                              年  月  日</w:t>
      </w:r>
      <w:r/>
    </w:p>
    <w:p>
      <w:pPr>
        <w:ind w:firstLine="32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供方户名：</w:t>
      </w:r>
      <w:r/>
    </w:p>
    <w:p>
      <w:pPr>
        <w:ind w:firstLine="50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供方开户银行：</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供方账号：</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见证方（公章）：                          日期：</w:t>
      </w:r>
      <w:r/>
    </w:p>
    <w:p>
      <w:pPr>
        <w:jc w:val="center"/>
        <w:spacing w:line="440" w:lineRule="exact"/>
        <w:rPr>
          <w:rFonts w:ascii="黑体" w:hAnsi="宋体" w:eastAsia="黑体" w:cs="黑体"/>
          <w:bCs/>
          <w:color w:val="auto"/>
          <w:sz w:val="28"/>
          <w:szCs w:val="28"/>
          <w:highlight w:val="none"/>
        </w:rPr>
        <w:outlineLvl w:val="0"/>
      </w:pPr>
      <w:r>
        <w:rPr>
          <w:rFonts w:hint="eastAsia" w:ascii="黑体" w:hAnsi="宋体" w:eastAsia="黑体" w:cs="黑体"/>
          <w:bCs/>
          <w:color w:val="auto"/>
          <w:sz w:val="28"/>
          <w:szCs w:val="28"/>
          <w:highlight w:val="none"/>
          <w:lang w:bidi="ar"/>
        </w:rPr>
        <w:br w:type="page" w:clear="all"/>
      </w:r>
      <w:bookmarkStart w:id="12" w:name="_Toc2604"/>
      <w:r/>
      <w:bookmarkStart w:id="13" w:name="_Toc25075"/>
      <w:r>
        <w:rPr>
          <w:rFonts w:hint="eastAsia" w:ascii="黑体" w:hAnsi="宋体" w:eastAsia="黑体" w:cs="黑体"/>
          <w:bCs/>
          <w:color w:val="auto"/>
          <w:sz w:val="28"/>
          <w:szCs w:val="28"/>
          <w:highlight w:val="none"/>
          <w:lang w:bidi="ar"/>
        </w:rPr>
        <w:t xml:space="preserve">五.合同条款</w:t>
      </w:r>
      <w:bookmarkEnd w:id="12"/>
      <w:r/>
      <w:bookmarkEnd w:id="13"/>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（根据相关法律规定以及采购文件确定事项订立）</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eastAsia="宋体" w:cs="宋体"/>
          <w:b/>
          <w:color w:val="auto"/>
          <w:sz w:val="24"/>
          <w:szCs w:val="24"/>
          <w:highlight w:val="none"/>
          <w:u w:val="single"/>
          <w:lang w:val="en-US" w:eastAsia="zh-CN" w:bidi="ar-SA"/>
        </w:rPr>
        <w:t xml:space="preserve">202</w:t>
      </w:r>
      <w:r>
        <w:rPr>
          <w:rFonts w:hint="eastAsia" w:ascii="宋体" w:hAnsi="宋体" w:cs="宋体"/>
          <w:b/>
          <w:color w:val="auto"/>
          <w:sz w:val="24"/>
          <w:szCs w:val="24"/>
          <w:highlight w:val="none"/>
          <w:u w:val="single"/>
          <w:lang w:val="en-US" w:eastAsia="zh-CN" w:bidi="ar-SA"/>
        </w:rPr>
        <w:t xml:space="preserve">6</w:t>
      </w:r>
      <w:r>
        <w:rPr>
          <w:rFonts w:hint="eastAsia" w:ascii="宋体" w:hAnsi="宋体" w:eastAsia="宋体" w:cs="宋体"/>
          <w:b/>
          <w:color w:val="auto"/>
          <w:sz w:val="24"/>
          <w:szCs w:val="24"/>
          <w:highlight w:val="none"/>
          <w:u w:val="single"/>
          <w:lang w:val="en-US" w:eastAsia="zh-CN" w:bidi="ar-SA"/>
        </w:rPr>
        <w:t xml:space="preserve">年</w:t>
      </w:r>
      <w:r>
        <w:rPr>
          <w:rFonts w:hint="eastAsia" w:ascii="宋体" w:hAnsi="宋体" w:eastAsia="宋体" w:cs="宋体"/>
          <w:b/>
          <w:color w:val="auto"/>
          <w:sz w:val="24"/>
          <w:szCs w:val="24"/>
          <w:highlight w:val="none"/>
          <w:u w:val="single"/>
          <w:lang w:val="en-US" w:eastAsia="zh-CN" w:bidi="ar-SA"/>
        </w:rPr>
        <w:t xml:space="preserve">重点排污单位监测项目</w:t>
      </w:r>
      <w:r>
        <w:rPr>
          <w:rFonts w:hint="eastAsia" w:ascii="宋体" w:hAnsi="宋体" w:eastAsia="宋体" w:cs="宋体"/>
          <w:color w:val="auto"/>
          <w:sz w:val="24"/>
          <w:szCs w:val="24"/>
          <w:highlight w:val="none"/>
          <w:lang w:val="en-US" w:eastAsia="zh-CN" w:bidi="ar-SA"/>
        </w:rPr>
        <w:t xml:space="preserve">采购文件、投标结果和中标通知书，甲、乙双方就</w:t>
      </w:r>
      <w:r>
        <w:rPr>
          <w:rFonts w:hint="eastAsia" w:ascii="宋体" w:hAnsi="宋体" w:eastAsia="宋体" w:cs="宋体"/>
          <w:color w:val="auto"/>
          <w:sz w:val="24"/>
          <w:szCs w:val="24"/>
          <w:highlight w:val="none"/>
          <w:u w:val="single"/>
          <w:lang w:val="en-US" w:eastAsia="zh-CN" w:bidi="ar-SA"/>
        </w:rPr>
        <w:t xml:space="preserve">202</w:t>
      </w:r>
      <w:r>
        <w:rPr>
          <w:rFonts w:hint="eastAsia" w:ascii="宋体" w:hAnsi="宋体"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重点排污单位监测项目</w:t>
      </w:r>
      <w:r>
        <w:rPr>
          <w:rFonts w:hint="eastAsia" w:ascii="宋体" w:hAnsi="宋体" w:eastAsia="宋体" w:cs="宋体"/>
          <w:color w:val="auto"/>
          <w:sz w:val="24"/>
          <w:szCs w:val="24"/>
          <w:highlight w:val="none"/>
          <w:lang w:val="en-US" w:eastAsia="zh-CN" w:bidi="ar-SA"/>
        </w:rPr>
        <w:t xml:space="preserve">的采购事宜，签订本协议。</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一、乙方通过招投标获得</w:t>
      </w:r>
      <w:r>
        <w:rPr>
          <w:rFonts w:hint="eastAsia" w:ascii="宋体" w:hAnsi="宋体" w:eastAsia="宋体" w:cs="宋体"/>
          <w:color w:val="auto"/>
          <w:sz w:val="24"/>
          <w:szCs w:val="24"/>
          <w:highlight w:val="none"/>
          <w:u w:val="single"/>
          <w:lang w:val="en-US" w:eastAsia="zh-CN" w:bidi="ar-SA"/>
        </w:rPr>
        <w:t xml:space="preserve">202</w:t>
      </w:r>
      <w:r>
        <w:rPr>
          <w:rFonts w:hint="eastAsia" w:ascii="宋体" w:hAnsi="宋体"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重点排污单位监测项目（  标段）</w:t>
      </w:r>
      <w:r>
        <w:rPr>
          <w:rFonts w:hint="eastAsia" w:ascii="宋体" w:hAnsi="宋体" w:eastAsia="宋体" w:cs="宋体"/>
          <w:bCs/>
          <w:color w:val="auto"/>
          <w:sz w:val="24"/>
          <w:szCs w:val="24"/>
          <w:highlight w:val="none"/>
          <w:lang w:val="en-US" w:eastAsia="zh-CN" w:bidi="ar-SA"/>
        </w:rPr>
        <w:t xml:space="preserve">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二、协议有效期为：</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三、业务费支付：</w:t>
      </w:r>
      <w:r>
        <w:rPr>
          <w:rFonts w:hint="eastAsia" w:ascii="宋体" w:hAnsi="宋体" w:eastAsia="宋体" w:cs="宋体"/>
          <w:i w:val="0"/>
          <w:iCs w:val="0"/>
          <w:color w:val="auto"/>
          <w:sz w:val="24"/>
          <w:szCs w:val="24"/>
          <w:highlight w:val="none"/>
          <w:u w:val="single"/>
          <w:lang w:val="en-US" w:eastAsia="zh-CN" w:bidi="ar-SA"/>
        </w:rPr>
        <w:t xml:space="preserve">本项目</w:t>
      </w:r>
      <w:r>
        <w:rPr>
          <w:rFonts w:hint="eastAsia" w:ascii="宋体" w:hAnsi="宋体" w:eastAsia="宋体" w:cs="宋体"/>
          <w:color w:val="auto"/>
          <w:sz w:val="24"/>
          <w:szCs w:val="24"/>
          <w:highlight w:val="none"/>
          <w:u w:val="single"/>
        </w:rPr>
        <w:t xml:space="preserve">按实际合同中标金额</w:t>
      </w:r>
      <w:r>
        <w:rPr>
          <w:rFonts w:hint="eastAsia" w:ascii="宋体" w:hAnsi="宋体" w:eastAsia="宋体" w:cs="宋体"/>
          <w:i w:val="0"/>
          <w:iCs w:val="0"/>
          <w:color w:val="auto"/>
          <w:sz w:val="24"/>
          <w:szCs w:val="24"/>
          <w:highlight w:val="none"/>
          <w:u w:val="single"/>
          <w:lang w:val="en-US" w:eastAsia="zh-CN" w:bidi="ar-SA"/>
        </w:rPr>
        <w:t xml:space="preserve">，</w:t>
      </w:r>
      <w:r>
        <w:rPr>
          <w:rFonts w:hint="eastAsia" w:ascii="宋体" w:hAnsi="宋体" w:eastAsia="宋体" w:cs="宋体"/>
          <w:i w:val="0"/>
          <w:iCs w:val="0"/>
          <w:color w:val="auto"/>
          <w:sz w:val="24"/>
          <w:szCs w:val="24"/>
          <w:highlight w:val="none"/>
          <w:u w:val="single"/>
          <w:lang w:val="en-US" w:eastAsia="zh-CN" w:bidi="ar-SA"/>
        </w:rPr>
        <w:t xml:space="preserve">202</w:t>
      </w:r>
      <w:r>
        <w:rPr>
          <w:rFonts w:hint="eastAsia" w:ascii="宋体" w:hAnsi="宋体" w:cs="宋体"/>
          <w:i w:val="0"/>
          <w:iCs w:val="0"/>
          <w:color w:val="auto"/>
          <w:sz w:val="24"/>
          <w:szCs w:val="24"/>
          <w:highlight w:val="none"/>
          <w:u w:val="single"/>
          <w:lang w:val="en-US" w:eastAsia="zh-CN" w:bidi="ar-SA"/>
        </w:rPr>
        <w:t xml:space="preserve">6</w:t>
      </w:r>
      <w:r>
        <w:rPr>
          <w:rFonts w:hint="eastAsia" w:ascii="宋体" w:hAnsi="宋体" w:eastAsia="宋体" w:cs="宋体"/>
          <w:i w:val="0"/>
          <w:iCs w:val="0"/>
          <w:color w:val="auto"/>
          <w:sz w:val="24"/>
          <w:szCs w:val="24"/>
          <w:highlight w:val="none"/>
          <w:u w:val="single"/>
          <w:lang w:val="en-US" w:eastAsia="zh-CN" w:bidi="ar-SA"/>
        </w:rPr>
        <w:t xml:space="preserve">年内</w:t>
      </w:r>
      <w:r>
        <w:rPr>
          <w:rFonts w:hint="eastAsia" w:ascii="宋体" w:hAnsi="宋体" w:eastAsia="宋体" w:cs="宋体"/>
          <w:i w:val="0"/>
          <w:iCs w:val="0"/>
          <w:color w:val="auto"/>
          <w:sz w:val="24"/>
          <w:szCs w:val="24"/>
          <w:highlight w:val="none"/>
          <w:u w:val="single"/>
          <w:lang w:val="en-US" w:eastAsia="zh-CN" w:bidi="ar-SA"/>
        </w:rPr>
        <w:t xml:space="preserve">支付约</w:t>
      </w:r>
      <w:r>
        <w:rPr>
          <w:rFonts w:hint="eastAsia" w:ascii="宋体" w:hAnsi="宋体" w:cs="宋体"/>
          <w:i w:val="0"/>
          <w:iCs w:val="0"/>
          <w:color w:val="auto"/>
          <w:sz w:val="24"/>
          <w:szCs w:val="24"/>
          <w:highlight w:val="none"/>
          <w:u w:val="single"/>
          <w:lang w:val="en-US" w:eastAsia="zh-CN" w:bidi="ar-SA"/>
        </w:rPr>
        <w:t xml:space="preserve">2</w:t>
      </w:r>
      <w:r>
        <w:rPr>
          <w:rFonts w:hint="eastAsia" w:ascii="宋体" w:hAnsi="宋体" w:eastAsia="宋体" w:cs="宋体"/>
          <w:i w:val="0"/>
          <w:iCs w:val="0"/>
          <w:color w:val="auto"/>
          <w:sz w:val="24"/>
          <w:szCs w:val="24"/>
          <w:highlight w:val="none"/>
          <w:u w:val="single"/>
          <w:lang w:val="en-US" w:eastAsia="zh-CN" w:bidi="ar-SA"/>
        </w:rPr>
        <w:t xml:space="preserve">0%监测经费</w:t>
      </w:r>
      <w:r>
        <w:rPr>
          <w:rFonts w:hint="eastAsia" w:ascii="宋体" w:hAnsi="宋体" w:eastAsia="宋体" w:cs="宋体"/>
          <w:i w:val="0"/>
          <w:iCs w:val="0"/>
          <w:color w:val="auto"/>
          <w:sz w:val="24"/>
          <w:szCs w:val="24"/>
          <w:highlight w:val="none"/>
          <w:u w:val="single"/>
          <w:lang w:val="en-US" w:eastAsia="zh-CN" w:bidi="ar-SA"/>
        </w:rPr>
        <w:t xml:space="preserve">（根据</w:t>
      </w:r>
      <w:r>
        <w:rPr>
          <w:rFonts w:hint="eastAsia" w:ascii="宋体" w:hAnsi="宋体" w:cs="宋体"/>
          <w:i w:val="0"/>
          <w:iCs w:val="0"/>
          <w:color w:val="auto"/>
          <w:sz w:val="24"/>
          <w:szCs w:val="24"/>
          <w:highlight w:val="none"/>
          <w:u w:val="single"/>
          <w:lang w:val="en-US" w:eastAsia="zh-CN" w:bidi="ar-SA"/>
        </w:rPr>
        <w:t xml:space="preserve">实际</w:t>
      </w:r>
      <w:r>
        <w:rPr>
          <w:rFonts w:hint="eastAsia" w:ascii="宋体" w:hAnsi="宋体" w:eastAsia="宋体" w:cs="宋体"/>
          <w:i w:val="0"/>
          <w:iCs w:val="0"/>
          <w:color w:val="auto"/>
          <w:sz w:val="24"/>
          <w:szCs w:val="24"/>
          <w:highlight w:val="none"/>
          <w:u w:val="single"/>
          <w:lang w:val="en-US" w:eastAsia="zh-CN" w:bidi="ar-SA"/>
        </w:rPr>
        <w:t xml:space="preserve">中标价格适当微调），</w:t>
      </w:r>
      <w:r>
        <w:rPr>
          <w:rFonts w:hint="eastAsia" w:ascii="宋体" w:hAnsi="宋体" w:eastAsia="宋体" w:cs="宋体"/>
          <w:i w:val="0"/>
          <w:iCs w:val="0"/>
          <w:color w:val="auto"/>
          <w:sz w:val="24"/>
          <w:szCs w:val="24"/>
          <w:highlight w:val="none"/>
          <w:u w:val="single"/>
          <w:lang w:val="en-US" w:eastAsia="zh-CN" w:bidi="ar-SA"/>
        </w:rPr>
        <w:t xml:space="preserve">202</w:t>
      </w:r>
      <w:r>
        <w:rPr>
          <w:rFonts w:hint="eastAsia" w:ascii="宋体" w:hAnsi="宋体" w:cs="宋体"/>
          <w:i w:val="0"/>
          <w:iCs w:val="0"/>
          <w:color w:val="auto"/>
          <w:sz w:val="24"/>
          <w:szCs w:val="24"/>
          <w:highlight w:val="none"/>
          <w:u w:val="single"/>
          <w:lang w:val="en-US" w:eastAsia="zh-CN" w:bidi="ar-SA"/>
        </w:rPr>
        <w:t xml:space="preserve">7</w:t>
      </w:r>
      <w:r>
        <w:rPr>
          <w:rFonts w:hint="eastAsia" w:ascii="宋体" w:hAnsi="宋体" w:eastAsia="宋体" w:cs="宋体"/>
          <w:i w:val="0"/>
          <w:iCs w:val="0"/>
          <w:color w:val="auto"/>
          <w:sz w:val="24"/>
          <w:szCs w:val="24"/>
          <w:highlight w:val="none"/>
          <w:u w:val="single"/>
          <w:lang w:val="en-US" w:eastAsia="zh-CN" w:bidi="ar-SA"/>
        </w:rPr>
        <w:t xml:space="preserve">年合同</w:t>
      </w:r>
      <w:r>
        <w:rPr>
          <w:rFonts w:hint="eastAsia" w:ascii="宋体" w:hAnsi="宋体" w:eastAsia="宋体" w:cs="宋体"/>
          <w:i w:val="0"/>
          <w:iCs w:val="0"/>
          <w:color w:val="auto"/>
          <w:sz w:val="24"/>
          <w:szCs w:val="24"/>
          <w:highlight w:val="none"/>
          <w:u w:val="single"/>
          <w:lang w:val="en-US" w:eastAsia="zh-CN" w:bidi="ar-SA"/>
        </w:rPr>
        <w:t xml:space="preserve">到期后，根据项目开展情况及质量考核结果，支付剩余尾款。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四、下列文件应视为构成并作为阅读和理解本协议的组成部分，即：</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2、采购文件；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3、投标文件及其附件（含投标人在评标期间递交和确认并经招标人同意的对有关问题的补充资料和澄清文件等）；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1、甲方未按本协议规定，乙方可依法向甲方要求经济赔偿；</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2、乙方对本协议规定的义务未履行或履行不力的，甲方可依法向乙方要求经济赔偿，甲方可依本协议规定取消乙方实验室服务资格；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3、甲、乙双方若有违反本协议规定或其他违纪事项可向相关部门投诉。经相关部门核查，如情况属实将作为有效投诉记录在案，自愿接受相应处罚。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六、不可抗力</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1、甲、乙双方如果因不可抗力而导致协议义务的延误或不能履行，不承担误期赔偿或终止协议的责任。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2、本条所述的“不可抗力”系指下列甲、乙双方无法控制、不可预见的事件，但不包括甲、乙双方的违约或疏忽。这些事件包括：战争、严重火灾、洪水、台风、地震以及其他甲、乙双方商定的事件。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七、协议的解除：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1、甲、乙双方协商一致，可以解除协议。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2、解除协议的一方，应当在对方违约事实或不可抗力发生之后三十天内书面通知对方提出解除协议，协议在书面通知到达对方时解除。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3、协议的部分和全部都不得擅自转让。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4、当乙方出现下列情况之一，甲方和乙方可以解除协议：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（1）客户对乙方有效投诉记录累计达3次及以上的；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（2）在协议有效期内，被行业主管部门警告或取消经营资格的；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（3）在协议有效期内，乙方擅自变更、转让、租借定点资格的；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（4）未如实反映情况，提供虚假材料的；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（5）未按</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的价格提供服务的；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（6）社会实验室未能在监测协议书要求的时间内（含同意延长的时间）提交监测报告及数据汇总表和原始记录复印件或受甲方两次书面警告则视为违约，违约达二次的；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（7）甲方组织的技术考核中乙方存在重大技术问题的；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（8）报告作假一次的；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（9）有行为作风问题，行贿一次的；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（10）响应不足投标承诺达三次的取消委托资格；</w:t>
      </w:r>
      <w:r>
        <w:rPr>
          <w:rFonts w:hint="eastAsia" w:ascii="宋体" w:hAnsi="宋体" w:eastAsia="宋体" w:cs="宋体"/>
          <w:color w:val="auto"/>
          <w:sz w:val="24"/>
          <w:szCs w:val="24"/>
          <w:highlight w:val="none"/>
        </w:rPr>
        <w:t xml:space="preserve">三次以内响应不足的，每次扣除</w:t>
      </w:r>
      <w:r>
        <w:rPr>
          <w:rFonts w:hint="eastAsia" w:ascii="宋体" w:hAnsi="宋体" w:eastAsia="宋体" w:cs="宋体"/>
          <w:color w:val="auto"/>
          <w:sz w:val="24"/>
          <w:szCs w:val="24"/>
          <w:highlight w:val="none"/>
          <w:lang w:val="en-US" w:eastAsia="zh-CN"/>
        </w:rPr>
        <w:t xml:space="preserve">2000元</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八、争议处置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在执行本协议中所发生的一切争议，甲、乙双方应通过友好协商的方式进行解决，如协商不能解决的，有关当事方可提请所在地人民法院按司法程序解决。</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九、协议生效及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1、本协议经甲、乙双方签字并盖章后方正式生效。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2、协议在执行过程中出现的未尽事宜，甲、乙双方在不违背本协议的原则下协商解决，协商结果以书面形式记录在案，作为本协议附件，与本协议具有同等效力。</w:t>
      </w:r>
      <w:r/>
    </w:p>
    <w:p>
      <w:p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lang w:val="en-US" w:eastAsia="zh-CN" w:bidi="ar-SA"/>
        </w:rPr>
        <w:t xml:space="preserve">十、本协议</w:t>
      </w:r>
      <w:r>
        <w:rPr>
          <w:rFonts w:hint="eastAsia" w:ascii="宋体" w:hAnsi="宋体" w:cs="宋体"/>
          <w:bCs/>
          <w:color w:val="auto"/>
          <w:sz w:val="24"/>
          <w:szCs w:val="24"/>
          <w:highlight w:val="none"/>
          <w:lang w:bidi="ar"/>
        </w:rPr>
        <w:t xml:space="preserve">一式五份，供需双方各执二份，见证方一份。</w:t>
      </w:r>
      <w:r/>
    </w:p>
    <w:p>
      <w:pPr>
        <w:rPr>
          <w:rFonts w:hint="eastAsia" w:ascii="宋体" w:hAnsi="宋体" w:cs="宋体"/>
          <w:color w:val="auto"/>
          <w:sz w:val="24"/>
          <w:highlight w:val="none"/>
          <w:lang w:val="zh-CN"/>
        </w:rPr>
      </w:pPr>
      <w:r>
        <w:rPr>
          <w:rFonts w:hint="eastAsia" w:ascii="宋体" w:hAnsi="宋体" w:cs="宋体"/>
          <w:color w:val="auto"/>
          <w:sz w:val="24"/>
          <w:highlight w:val="none"/>
          <w:lang w:val="zh-CN"/>
        </w:rPr>
        <w:br w:type="page" w:clear="all"/>
      </w:r>
      <w:r/>
    </w:p>
    <w:p>
      <w:pPr>
        <w:jc w:val="center"/>
        <w:rPr>
          <w:rFonts w:ascii="黑体" w:eastAsia="黑体"/>
          <w:bCs/>
          <w:color w:val="auto"/>
          <w:sz w:val="28"/>
          <w:szCs w:val="28"/>
          <w:highlight w:val="none"/>
        </w:rPr>
        <w:outlineLvl w:val="0"/>
      </w:pPr>
      <w:r/>
      <w:bookmarkStart w:id="14" w:name="_Toc26767"/>
      <w:r/>
      <w:bookmarkStart w:id="15" w:name="_Toc4558"/>
      <w:r>
        <w:rPr>
          <w:rFonts w:hint="eastAsia" w:ascii="黑体" w:eastAsia="黑体"/>
          <w:bCs/>
          <w:color w:val="auto"/>
          <w:sz w:val="28"/>
          <w:szCs w:val="28"/>
          <w:highlight w:val="none"/>
        </w:rPr>
        <w:t xml:space="preserve">六.附件</w:t>
      </w:r>
      <w:bookmarkEnd w:id="14"/>
      <w:r/>
      <w:bookmarkEnd w:id="15"/>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特别注意：本项目采用暗标形式，投标人须对商务部分和技术部分分别进行制作。其中技术文件部分属于暗标，投标人在制作技术文件部分相关内容时不得有体现投标人身份的内容，否则投标无效。</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一标段、二标段：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w:t>
      </w:r>
      <w:r>
        <w:rPr>
          <w:rFonts w:hint="eastAsia" w:ascii="宋体" w:hAnsi="宋体" w:eastAsia="宋体" w:cs="宋体"/>
          <w:color w:val="auto"/>
          <w:sz w:val="24"/>
          <w:szCs w:val="24"/>
          <w:highlight w:val="none"/>
          <w:lang w:val="en-US" w:eastAsia="zh-CN" w:bidi="ar"/>
        </w:rPr>
        <w:t xml:space="preserve">评分项目及分值（总分100分）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1.投标报价                                     30分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2.投标供应商评价                               </w:t>
      </w:r>
      <w:r>
        <w:rPr>
          <w:rFonts w:hint="eastAsia" w:ascii="宋体" w:hAnsi="宋体" w:cs="宋体"/>
          <w:b/>
          <w:bCs w:val="0"/>
          <w:color w:val="auto"/>
          <w:sz w:val="24"/>
          <w:szCs w:val="24"/>
          <w:highlight w:val="none"/>
          <w:lang w:val="en-US" w:eastAsia="zh-CN" w:bidi="ar"/>
        </w:rPr>
        <w:t xml:space="preserve">22</w:t>
      </w:r>
      <w:r>
        <w:rPr>
          <w:rFonts w:hint="eastAsia" w:ascii="宋体" w:hAnsi="宋体" w:eastAsia="宋体" w:cs="宋体"/>
          <w:b/>
          <w:bCs w:val="0"/>
          <w:color w:val="auto"/>
          <w:sz w:val="24"/>
          <w:szCs w:val="24"/>
          <w:highlight w:val="none"/>
          <w:lang w:val="en-US" w:eastAsia="zh-CN" w:bidi="ar"/>
        </w:rPr>
        <w:t xml:space="preserve">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3.技术文件（暗标）                             </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cs="宋体"/>
          <w:b/>
          <w:bCs w:val="0"/>
          <w:color w:val="auto"/>
          <w:sz w:val="24"/>
          <w:szCs w:val="24"/>
          <w:highlight w:val="none"/>
          <w:lang w:val="en-US" w:eastAsia="zh-CN" w:bidi="ar"/>
        </w:rPr>
        <w:t xml:space="preserve">8</w:t>
      </w:r>
      <w:r>
        <w:rPr>
          <w:rFonts w:hint="eastAsia" w:ascii="宋体" w:hAnsi="宋体" w:eastAsia="宋体" w:cs="宋体"/>
          <w:b/>
          <w:bCs w:val="0"/>
          <w:color w:val="auto"/>
          <w:sz w:val="24"/>
          <w:szCs w:val="24"/>
          <w:highlight w:val="none"/>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（二）各项目评分标准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1.投标报价（30分）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采用低价优先法计算，即满足招标文件要求且投标价格最低的投标折扣率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折扣率=1-优惠率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为评标基准折扣率，其价格分为满分。其他投标供应商的价格分统一按照下列公式计算：</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zh-CN"/>
        </w:rPr>
        <w:t xml:space="preserve">报价得分=（</w:t>
      </w:r>
      <w:r>
        <w:rPr>
          <w:rFonts w:hint="eastAsia" w:ascii="宋体" w:hAnsi="宋体" w:eastAsia="宋体" w:cs="宋体"/>
          <w:color w:val="auto"/>
          <w:sz w:val="24"/>
          <w:szCs w:val="24"/>
          <w:highlight w:val="none"/>
        </w:rPr>
        <w:t xml:space="preserve">评标基准折扣率</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投标折扣率</w:t>
      </w:r>
      <w:r>
        <w:rPr>
          <w:rFonts w:hint="eastAsia" w:ascii="宋体" w:hAnsi="宋体" w:eastAsia="宋体" w:cs="宋体"/>
          <w:color w:val="auto"/>
          <w:sz w:val="24"/>
          <w:szCs w:val="24"/>
          <w:highlight w:val="none"/>
          <w:lang w:val="zh-CN"/>
        </w:rPr>
        <w:t xml:space="preserve">）×价格权值×100。</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价格扣除：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价格扣除：对小型和微型企业产品的价格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参加投标的中小企业，应当按照《政府采购促进中小企业发展暂行办法》（财库〔2020〕46号）的规定提供《中小企业声明函》（格式见附件，中标供应商的《中小企业声明函》将随中标公告进行公示）。（中小企业划型标准详见《关于印发中小企业划型标准规定的通知》工信部联企业〔2011〕300号）。</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③参加投标的残疾人福利性单位，应当按照《财政部、民政部、中国残疾人联合会关于促进残疾人就业政府采购政策的通知》（财库〔2017〕141号）的规定提供《残疾人福利性单位声明函》。</w:t>
      </w:r>
      <w:r/>
    </w:p>
    <w:p>
      <w:pPr>
        <w:ind w:left="0" w:right="0" w:firstLine="480"/>
        <w:jc w:val="both"/>
        <w:keepLines w:val="0"/>
        <w:keepNext w:val="0"/>
        <w:spacing w:before="0" w:beforeAutospacing="0" w:after="0" w:afterAutospacing="0" w:line="360" w:lineRule="auto"/>
        <w:widowControl w:val="off"/>
        <w:tabs>
          <w:tab w:val="left" w:pos="420" w:leader="none"/>
          <w:tab w:val="left" w:pos="945" w:leader="none"/>
          <w:tab w:val="left" w:pos="1155"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注：同一供应商，上述三项价格扣除优惠不得重复享受。</w:t>
      </w:r>
      <w:r/>
    </w:p>
    <w:p>
      <w:pPr>
        <w:ind w:left="0" w:right="0" w:firstLine="482"/>
        <w:jc w:val="both"/>
        <w:keepLines w:val="0"/>
        <w:keepNext w:val="0"/>
        <w:spacing w:before="0" w:beforeAutospacing="0" w:after="0" w:afterAutospacing="0" w:line="360" w:lineRule="auto"/>
        <w:widowControl w:val="off"/>
        <w:tabs>
          <w:tab w:val="left" w:pos="420" w:leader="none"/>
          <w:tab w:val="left" w:pos="945" w:leader="none"/>
          <w:tab w:val="left" w:pos="1155" w:leader="none"/>
        </w:tabs>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2、投标供应商评价（</w:t>
      </w:r>
      <w:r>
        <w:rPr>
          <w:rFonts w:hint="eastAsia" w:ascii="宋体" w:hAnsi="宋体" w:cs="宋体"/>
          <w:b/>
          <w:bCs/>
          <w:color w:val="auto"/>
          <w:sz w:val="24"/>
          <w:szCs w:val="24"/>
          <w:highlight w:val="none"/>
          <w:lang w:val="en-US" w:eastAsia="zh-CN" w:bidi="ar"/>
        </w:rPr>
        <w:t xml:space="preserve">22</w:t>
      </w:r>
      <w:r>
        <w:rPr>
          <w:rFonts w:hint="eastAsia" w:ascii="宋体" w:hAnsi="宋体" w:eastAsia="宋体" w:cs="宋体"/>
          <w:b/>
          <w:bCs/>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（1）技术能力（11分）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①资质认定能力（3分）：通过省级及以上质量技术监督局实验室资质认定的环境类监测项目数300项以下（含300项）的得1分，在300～600项（含600项）的得2分，在601以上得3分；本项最高得3分【提供CMA计量认证证书及附表，以资质认定证书中检测能力表序号为项数，提供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②单位资质（1分）：具备CNAS证书得1分；【提供相关证明文件扫描件上传至电子投标文件，未按要求提供不得分】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③监测能力（2分）：资质认定能力表中具备《环境空气 挥发性有机物的测定 罐采样/气相色谱-质谱法》（HJ 759-2023）（含HJ 759-2015方法更新）监测能力的得1分；资质认定能力表中具备《水质 挥发性有机物的测定 吹扫捕集/气相色谱- 质谱法》（HJ 639-2012）监测能力的得1分；本项最高得2分【提供相关证明文件扫描件上传至电子投标文件，未按要求提供不得分】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④能力验证（5分）：根据</w:t>
      </w:r>
      <w:r>
        <w:rPr>
          <w:rFonts w:hint="eastAsia" w:ascii="宋体" w:hAnsi="宋体" w:eastAsia="宋体" w:cs="宋体"/>
          <w:color w:val="auto"/>
          <w:sz w:val="24"/>
          <w:szCs w:val="24"/>
          <w:highlight w:val="none"/>
          <w:shd w:val="clear" w:color="auto" w:fill="ffffff"/>
          <w:lang w:val="en-US" w:eastAsia="zh-CN" w:bidi="ar"/>
        </w:rPr>
        <w:t xml:space="preserve">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年度</w:t>
      </w:r>
      <w:r>
        <w:rPr>
          <w:rFonts w:hint="eastAsia" w:ascii="宋体" w:hAnsi="宋体" w:eastAsia="宋体" w:cs="宋体"/>
          <w:color w:val="auto"/>
          <w:sz w:val="24"/>
          <w:szCs w:val="24"/>
          <w:highlight w:val="none"/>
          <w:shd w:val="clear" w:color="auto" w:fill="ffffff"/>
          <w:lang w:val="en-US" w:eastAsia="zh-CN" w:bidi="ar"/>
        </w:rPr>
        <w:t xml:space="preserve">以来投标供应商参加的省级及以上主管部门组织的或计量认证和中国实验室认可委员会组织的能力验证及实验室比对情况综合评定，每提供一份合格的能力验证报告得0.2分，最高得3分；</w:t>
      </w:r>
      <w:r>
        <w:rPr>
          <w:rFonts w:hint="eastAsia" w:ascii="宋体" w:hAnsi="宋体" w:eastAsia="宋体" w:cs="宋体"/>
          <w:color w:val="auto"/>
          <w:sz w:val="24"/>
          <w:szCs w:val="24"/>
          <w:highlight w:val="none"/>
          <w:shd w:val="clear" w:color="auto" w:fill="ffffff"/>
          <w:lang w:val="en-US" w:eastAsia="zh-CN" w:bidi="ar"/>
        </w:rPr>
        <w:t xml:space="preserve">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年</w:t>
      </w:r>
      <w:r>
        <w:rPr>
          <w:rFonts w:hint="eastAsia" w:ascii="宋体" w:hAnsi="宋体" w:eastAsia="宋体" w:cs="宋体"/>
          <w:color w:val="auto"/>
          <w:sz w:val="24"/>
          <w:szCs w:val="24"/>
          <w:highlight w:val="none"/>
          <w:shd w:val="clear" w:color="auto" w:fill="ffffff"/>
          <w:lang w:val="en-US" w:eastAsia="zh-CN" w:bidi="ar"/>
        </w:rPr>
        <w:t xml:space="preserve">以来参加国内或国际认证的二噁英专项能力验证及实验室比对的，提供合格的能力验证报告得2分。【需提供能力验证报告扫描件上传至电子投标文件，未按要求提供不得分】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w:t>
      </w:r>
      <w:r>
        <w:rPr>
          <w:rFonts w:hint="eastAsia" w:ascii="宋体" w:hAnsi="宋体" w:cs="宋体"/>
          <w:color w:val="auto"/>
          <w:sz w:val="24"/>
          <w:szCs w:val="24"/>
          <w:highlight w:val="none"/>
          <w:shd w:val="clear" w:color="auto" w:fill="ffffff"/>
          <w:lang w:val="en-US" w:eastAsia="zh-CN" w:bidi="ar"/>
        </w:rPr>
        <w:t xml:space="preserve">技术人员能力水平</w:t>
      </w:r>
      <w:r>
        <w:rPr>
          <w:rFonts w:hint="eastAsia" w:ascii="宋体" w:hAnsi="宋体" w:eastAsia="宋体" w:cs="宋体"/>
          <w:color w:val="auto"/>
          <w:sz w:val="24"/>
          <w:szCs w:val="24"/>
          <w:highlight w:val="none"/>
          <w:shd w:val="clear" w:color="auto" w:fill="ffffff"/>
          <w:lang w:val="en-US" w:eastAsia="zh-CN" w:bidi="ar"/>
        </w:rPr>
        <w:t xml:space="preserve">（4分）</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根据投标人提供的投标单位人员组成情况。环境类、化工类、化学类等相关专业中级以上职称（含中级）</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eastAsia="宋体" w:cs="宋体"/>
          <w:color w:val="auto"/>
          <w:sz w:val="24"/>
          <w:szCs w:val="24"/>
          <w:highlight w:val="none"/>
          <w:shd w:val="clear" w:color="auto" w:fill="ffffff"/>
          <w:lang w:val="en-US" w:eastAsia="zh-CN" w:bidi="ar"/>
        </w:rPr>
        <w:t xml:space="preserve">10人以下（含10人）且有高级职称1人以上（含1人）的得1分；中级以上职称（含中级）</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eastAsia="宋体" w:cs="宋体"/>
          <w:color w:val="auto"/>
          <w:sz w:val="24"/>
          <w:szCs w:val="24"/>
          <w:highlight w:val="none"/>
          <w:shd w:val="clear" w:color="auto" w:fill="ffffff"/>
          <w:lang w:val="en-US" w:eastAsia="zh-CN" w:bidi="ar"/>
        </w:rPr>
        <w:t xml:space="preserve">在10～19人（含19人）且有高级职称3人以上（含3人）的得2分；中级以上职称（含中级）</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eastAsia="宋体" w:cs="宋体"/>
          <w:color w:val="auto"/>
          <w:sz w:val="24"/>
          <w:szCs w:val="24"/>
          <w:highlight w:val="none"/>
          <w:shd w:val="clear" w:color="auto" w:fill="ffffff"/>
          <w:lang w:val="en-US" w:eastAsia="zh-CN" w:bidi="ar"/>
        </w:rPr>
        <w:t xml:space="preserve">在20人（含20人）以上且有高级职称4人以上（含4人）的得4分【提供</w:t>
      </w:r>
      <w:r>
        <w:rPr>
          <w:rFonts w:hint="eastAsia" w:ascii="宋体" w:hAnsi="宋体" w:eastAsia="宋体" w:cs="宋体"/>
          <w:bCs/>
          <w:color w:val="auto"/>
          <w:sz w:val="24"/>
          <w:szCs w:val="24"/>
          <w:highlight w:val="none"/>
          <w:lang w:val="en-US" w:eastAsia="zh-CN" w:bidi="ar"/>
        </w:rPr>
        <w:t xml:space="preserve">投标供应商为以上人员近三个月中任意一个月份（不含投标当月）缴纳社保的证明、以上人员的职称证书</w:t>
      </w:r>
      <w:r>
        <w:rPr>
          <w:rFonts w:hint="eastAsia" w:ascii="宋体" w:hAnsi="宋体" w:eastAsia="宋体" w:cs="宋体"/>
          <w:color w:val="auto"/>
          <w:sz w:val="24"/>
          <w:szCs w:val="24"/>
          <w:highlight w:val="none"/>
          <w:shd w:val="clear" w:color="auto" w:fill="ffffff"/>
          <w:lang w:val="en-US" w:eastAsia="zh-CN" w:bidi="ar"/>
        </w:rPr>
        <w:t xml:space="preserve">扫描件上传至电子投标文件</w:t>
      </w:r>
      <w:r>
        <w:rPr>
          <w:rFonts w:hint="eastAsia" w:ascii="宋体" w:hAnsi="宋体" w:eastAsia="宋体" w:cs="宋体"/>
          <w:bCs/>
          <w:color w:val="auto"/>
          <w:sz w:val="24"/>
          <w:szCs w:val="24"/>
          <w:highlight w:val="none"/>
          <w:lang w:val="en-US" w:eastAsia="zh-CN" w:bidi="ar"/>
        </w:rPr>
        <w:t xml:space="preserve">，未按要求提供不得分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（3）监测业绩及荣誉（</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①提供</w:t>
      </w:r>
      <w:r>
        <w:rPr>
          <w:rFonts w:hint="eastAsia" w:ascii="宋体" w:hAnsi="宋体" w:cs="宋体"/>
          <w:color w:val="auto"/>
          <w:sz w:val="24"/>
          <w:szCs w:val="24"/>
          <w:highlight w:val="none"/>
          <w:shd w:val="clear" w:color="auto" w:fill="ffffff"/>
          <w:lang w:val="en-US" w:eastAsia="zh-CN" w:bidi="ar"/>
        </w:rPr>
        <w:t xml:space="preserve">2025</w:t>
      </w:r>
      <w:r>
        <w:rPr>
          <w:rFonts w:hint="eastAsia" w:ascii="宋体" w:hAnsi="宋体" w:eastAsia="宋体" w:cs="宋体"/>
          <w:color w:val="auto"/>
          <w:sz w:val="24"/>
          <w:szCs w:val="24"/>
          <w:highlight w:val="none"/>
          <w:shd w:val="clear" w:color="auto" w:fill="ffffff"/>
          <w:lang w:val="en-US" w:eastAsia="zh-CN" w:bidi="ar"/>
        </w:rPr>
        <w:t xml:space="preserve">年以来承担过县（区）级及以上政府相关部门</w:t>
      </w:r>
      <w:r>
        <w:rPr>
          <w:rFonts w:hint="eastAsia" w:ascii="宋体" w:hAnsi="宋体" w:cs="宋体"/>
          <w:color w:val="auto"/>
          <w:sz w:val="24"/>
          <w:szCs w:val="24"/>
          <w:highlight w:val="none"/>
          <w:shd w:val="clear" w:color="auto" w:fill="ffffff"/>
          <w:lang w:val="en-US" w:eastAsia="zh-CN" w:bidi="ar"/>
        </w:rPr>
        <w:t xml:space="preserve">同类</w:t>
      </w:r>
      <w:r>
        <w:rPr>
          <w:rFonts w:hint="eastAsia" w:ascii="宋体" w:hAnsi="宋体" w:eastAsia="宋体" w:cs="宋体"/>
          <w:color w:val="auto"/>
          <w:sz w:val="24"/>
          <w:szCs w:val="24"/>
          <w:highlight w:val="none"/>
          <w:shd w:val="clear" w:color="auto" w:fill="ffffff"/>
          <w:lang w:val="en-US" w:eastAsia="zh-CN" w:bidi="ar"/>
        </w:rPr>
        <w:t xml:space="preserve">项目</w:t>
      </w:r>
      <w:r>
        <w:rPr>
          <w:rFonts w:hint="eastAsia" w:ascii="宋体" w:hAnsi="宋体" w:eastAsia="宋体" w:cs="宋体"/>
          <w:color w:val="auto"/>
          <w:sz w:val="24"/>
          <w:szCs w:val="24"/>
          <w:highlight w:val="none"/>
          <w:shd w:val="clear" w:color="auto" w:fill="ffffff"/>
          <w:lang w:val="en-US" w:eastAsia="zh-CN" w:bidi="ar"/>
        </w:rPr>
        <w:t xml:space="preserve">业绩</w:t>
      </w:r>
      <w:r>
        <w:rPr>
          <w:rFonts w:hint="eastAsia" w:ascii="宋体" w:hAnsi="宋体" w:eastAsia="宋体" w:cs="宋体"/>
          <w:color w:val="auto"/>
          <w:sz w:val="24"/>
          <w:szCs w:val="24"/>
          <w:highlight w:val="none"/>
          <w:u w:val="none"/>
          <w:shd w:val="clear" w:color="auto" w:fill="ffffff"/>
          <w:lang w:val="en-US" w:eastAsia="zh-CN" w:bidi="ar"/>
        </w:rPr>
        <w:t xml:space="preserve">，</w:t>
      </w:r>
      <w:r>
        <w:rPr>
          <w:rFonts w:hint="eastAsia" w:ascii="宋体" w:hAnsi="宋体" w:eastAsia="宋体" w:cs="宋体"/>
          <w:color w:val="auto"/>
          <w:sz w:val="24"/>
          <w:szCs w:val="24"/>
          <w:highlight w:val="none"/>
          <w:u w:val="none"/>
          <w:shd w:val="clear" w:color="auto" w:fill="ffffff"/>
          <w:lang w:val="en-US" w:eastAsia="zh-CN" w:bidi="ar"/>
        </w:rPr>
        <w:t xml:space="preserve">每提供一个得1分</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【以合同签订时间为准，提供合同扫描件上传至电子投标文件，未按要求提供不得分】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②提供参与县（区）级以上环境类课题或取得荣誉（公司或个人均可）的相关业绩，每提供</w:t>
      </w:r>
      <w:r>
        <w:rPr>
          <w:rFonts w:hint="eastAsia" w:ascii="宋体" w:hAnsi="宋体" w:cs="宋体"/>
          <w:color w:val="auto"/>
          <w:sz w:val="24"/>
          <w:szCs w:val="24"/>
          <w:highlight w:val="none"/>
          <w:shd w:val="clear" w:color="auto" w:fill="ffffff"/>
          <w:lang w:val="en-US" w:eastAsia="zh-CN" w:bidi="ar"/>
        </w:rPr>
        <w:t xml:space="preserve">1</w:t>
      </w:r>
      <w:r>
        <w:rPr>
          <w:rFonts w:hint="eastAsia" w:ascii="宋体" w:hAnsi="宋体" w:eastAsia="宋体" w:cs="宋体"/>
          <w:color w:val="auto"/>
          <w:sz w:val="24"/>
          <w:szCs w:val="24"/>
          <w:highlight w:val="none"/>
          <w:shd w:val="clear" w:color="auto" w:fill="ffffff"/>
          <w:lang w:val="en-US" w:eastAsia="zh-CN" w:bidi="ar"/>
        </w:rPr>
        <w:t xml:space="preserve">个的得1分，本项最高得2分【提供合同或证明材料扫描件上传至电子投标文件，未按要求提供不得分】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shd w:val="clear" w:color="auto" w:fill="ffffff"/>
          <w:lang w:val="en-US"/>
        </w:rPr>
        <w:suppressLineNumbers w:val="0"/>
      </w:pPr>
      <w:r>
        <w:rPr>
          <w:rFonts w:hint="eastAsia" w:ascii="宋体" w:hAnsi="宋体" w:eastAsia="宋体" w:cs="宋体"/>
          <w:color w:val="auto"/>
          <w:sz w:val="24"/>
          <w:szCs w:val="24"/>
          <w:highlight w:val="none"/>
          <w:shd w:val="clear" w:color="auto" w:fill="ffffff"/>
          <w:lang w:val="en-US" w:eastAsia="zh-CN" w:bidi="ar"/>
        </w:rPr>
        <w:t xml:space="preserve">（5）服务响应（3分）</w:t>
      </w:r>
      <w:r/>
    </w:p>
    <w:p>
      <w:pPr>
        <w:pStyle w:val="724"/>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shd w:val="clear" w:color="auto" w:fill="ffffff"/>
          <w:lang w:val="en-US" w:eastAsia="zh-CN" w:bidi="ar"/>
        </w:rPr>
        <w:t xml:space="preserve">应急情况下响应时间（指投标方监测小组人员及监测物资到达招标方单位地址的响应时间）总分3分，应急情况下响应并到达无锡市新吴生态环境局（无锡市新吴区交大联云科技园，清晏路与净慧东路交叉路口）的时间：50分钟（含50分钟）之内的得3分，51-70分钟（含70分钟）之内的得1分，超过70分钟的不得分【投标供应商须说明行程，交通方式等能充分保证可到达的理由，评委根据是否可能实现评定；提供证明文件材料扫描件上传至电子投标文件，未按要求提供不得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3.技术文件（暗标）（</w:t>
      </w:r>
      <w:r>
        <w:rPr>
          <w:rFonts w:hint="eastAsia" w:ascii="宋体" w:hAnsi="宋体" w:eastAsia="宋体" w:cs="宋体"/>
          <w:b/>
          <w:bCs/>
          <w:color w:val="auto"/>
          <w:sz w:val="24"/>
          <w:szCs w:val="24"/>
          <w:highlight w:val="none"/>
          <w:lang w:val="en-US" w:eastAsia="zh-CN" w:bidi="ar"/>
        </w:rPr>
        <w:t xml:space="preserve">4</w:t>
      </w:r>
      <w:r>
        <w:rPr>
          <w:rFonts w:hint="eastAsia" w:ascii="宋体" w:hAnsi="宋体" w:cs="宋体"/>
          <w:b/>
          <w:bCs/>
          <w:color w:val="auto"/>
          <w:sz w:val="24"/>
          <w:szCs w:val="24"/>
          <w:highlight w:val="none"/>
          <w:lang w:val="en-US" w:eastAsia="zh-CN" w:bidi="ar"/>
        </w:rPr>
        <w:t xml:space="preserve">8</w:t>
      </w:r>
      <w:r>
        <w:rPr>
          <w:rFonts w:hint="eastAsia" w:ascii="宋体" w:hAnsi="宋体" w:eastAsia="宋体" w:cs="宋体"/>
          <w:b/>
          <w:bCs/>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val="en-US" w:eastAsia="zh-CN" w:bidi="ar"/>
        </w:rPr>
        <w:t xml:space="preserve">）</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u w:val="single"/>
        </w:rPr>
        <w:suppressLineNumbers w:val="0"/>
      </w:pPr>
      <w:r>
        <w:rPr>
          <w:rFonts w:hint="eastAsia" w:ascii="宋体" w:hAnsi="宋体" w:eastAsia="宋体" w:cs="宋体"/>
          <w:b/>
          <w:bCs w:val="0"/>
          <w:color w:val="auto"/>
          <w:sz w:val="24"/>
          <w:szCs w:val="24"/>
          <w:highlight w:val="none"/>
          <w:u w:val="single"/>
          <w:lang w:val="en-US" w:eastAsia="zh-CN" w:bidi="ar"/>
        </w:rPr>
        <w:t xml:space="preserve">注：技术文件部分属于暗标，投标人在制作技术文件部分相关内容时不得有体现投标人身份的内容，否则投标无效。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（1）监测实施方案（</w:t>
      </w:r>
      <w:r>
        <w:rPr>
          <w:rFonts w:hint="eastAsia" w:ascii="宋体" w:hAnsi="宋体" w:eastAsia="宋体" w:cs="宋体"/>
          <w:color w:val="auto"/>
          <w:sz w:val="24"/>
          <w:szCs w:val="24"/>
          <w:highlight w:val="none"/>
          <w:shd w:val="clear" w:color="auto" w:fill="ffffff"/>
          <w:lang w:val="en-US" w:eastAsia="zh-CN" w:bidi="ar"/>
        </w:rPr>
        <w:t xml:space="preserve">3</w:t>
      </w:r>
      <w:r>
        <w:rPr>
          <w:rFonts w:hint="eastAsia" w:ascii="宋体" w:hAnsi="宋体" w:cs="宋体"/>
          <w:color w:val="auto"/>
          <w:sz w:val="24"/>
          <w:szCs w:val="24"/>
          <w:highlight w:val="none"/>
          <w:shd w:val="clear" w:color="auto" w:fill="ffffff"/>
          <w:lang w:val="en-US" w:eastAsia="zh-CN" w:bidi="ar"/>
        </w:rPr>
        <w:t xml:space="preserve">8</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根据投标供应商为重点排污单位监测项目提供的实施方案的完整性、可行性等情况酌情评分。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①前期准备（8分）：内容详实、需求贴合度高且条理清晰的该条得8分；内容较为简单、可行、细节待完善的该条得5分；内容粗略、无针对性、基本满足采购需求的该条得2分。本项最高得8分，每缺少一条内容或内容存在不能满足采购需求，或存在逻辑错误、前后矛盾，或存在违反现行相关规范的，该条不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②监测方案（</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③现场监测（</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④报告与结论（</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（2）质控措施及服务承诺（</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编制重点排污单位监测全过程中质量管理和质量控制措施，内容详实、需求贴合度高且条理清晰的该条得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；内容较为简单、可行、细节待完善的该条得</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；内容粗略、无针对性、基本满足采购需求的该条得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。本项最高得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，每缺少一条内容或内容存在不能满足采购需求，或存在逻辑错误、前后矛盾，或存在违反现行相关规范的，该条不得分。</w:t>
      </w:r>
      <w:r/>
    </w:p>
    <w:p>
      <w:pPr>
        <w:ind w:left="0" w:right="0" w:firstLine="482"/>
        <w:jc w:val="left"/>
        <w:keepLines w:val="0"/>
        <w:keepNext w:val="0"/>
        <w:spacing w:before="0" w:beforeAutospacing="0" w:after="0" w:afterAutospacing="0" w:line="360" w:lineRule="auto"/>
        <w:widowControl w:val="off"/>
        <w:tabs>
          <w:tab w:val="left" w:pos="1401" w:leader="none"/>
        </w:tabs>
        <w:rPr>
          <w:rFonts w:hint="eastAsia" w:ascii="宋体" w:hAnsi="宋体" w:eastAsia="宋体" w:cs="Times New Roman"/>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未列入本评分细则的其他条件不作为评分内容。</w:t>
      </w:r>
      <w:r/>
    </w:p>
    <w:p>
      <w:pPr>
        <w:ind w:left="0" w:right="0" w:firstLine="482"/>
        <w:jc w:val="left"/>
        <w:keepLines w:val="0"/>
        <w:keepNext w:val="0"/>
        <w:spacing w:before="0" w:beforeAutospacing="0" w:after="0" w:afterAutospacing="0" w:line="360" w:lineRule="auto"/>
        <w:widowControl w:val="off"/>
        <w:tabs>
          <w:tab w:val="left" w:pos="1401" w:leader="none"/>
        </w:tabs>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lang w:val="en-US" w:eastAsia="zh-CN" w:bidi="ar"/>
        </w:rPr>
        <w:t xml:space="preserve"> </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三标段、四标段：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（一）评分项目及分值（总分100分）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1.投标报价                                     30分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2.投标供应商评价                               </w:t>
      </w:r>
      <w:r>
        <w:rPr>
          <w:rFonts w:hint="eastAsia" w:ascii="宋体" w:hAnsi="宋体" w:cs="宋体"/>
          <w:b/>
          <w:bCs w:val="0"/>
          <w:color w:val="auto"/>
          <w:sz w:val="24"/>
          <w:szCs w:val="24"/>
          <w:highlight w:val="none"/>
          <w:lang w:val="en-US" w:eastAsia="zh-CN" w:bidi="ar"/>
        </w:rPr>
        <w:t xml:space="preserve">22</w:t>
      </w:r>
      <w:r>
        <w:rPr>
          <w:rFonts w:hint="eastAsia" w:ascii="宋体" w:hAnsi="宋体" w:eastAsia="宋体" w:cs="宋体"/>
          <w:b/>
          <w:bCs w:val="0"/>
          <w:color w:val="auto"/>
          <w:sz w:val="24"/>
          <w:szCs w:val="24"/>
          <w:highlight w:val="none"/>
          <w:lang w:val="en-US" w:eastAsia="zh-CN" w:bidi="ar"/>
        </w:rPr>
        <w:t xml:space="preserve">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3.技术文件（暗标）                             </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cs="宋体"/>
          <w:b/>
          <w:bCs w:val="0"/>
          <w:color w:val="auto"/>
          <w:sz w:val="24"/>
          <w:szCs w:val="24"/>
          <w:highlight w:val="none"/>
          <w:lang w:val="en-US" w:eastAsia="zh-CN" w:bidi="ar"/>
        </w:rPr>
        <w:t xml:space="preserve">8</w:t>
      </w:r>
      <w:r>
        <w:rPr>
          <w:rFonts w:hint="eastAsia" w:ascii="宋体" w:hAnsi="宋体" w:eastAsia="宋体" w:cs="宋体"/>
          <w:b/>
          <w:bCs w:val="0"/>
          <w:color w:val="auto"/>
          <w:sz w:val="24"/>
          <w:szCs w:val="24"/>
          <w:highlight w:val="none"/>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（二）各项目评分标准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1.投标报价（30分）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t xml:space="preserve">采用低价优先法计算，即满足招标文件要求且投标价格最低的投标折扣率（折扣率=1-优惠率）为评标基准折扣率，其价格分为满分。其他投标供应商的价格分统一按照下列公式计算：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报价得分=（评标基准折扣率/投标折扣率）×价格权值×100。</w:t>
      </w:r>
      <w:r/>
    </w:p>
    <w:p>
      <w:pPr>
        <w:ind w:left="0" w:right="0" w:firstLine="482"/>
        <w:jc w:val="both"/>
        <w:keepLines w:val="0"/>
        <w:keepNext w:val="0"/>
        <w:spacing w:before="0" w:beforeAutospacing="0" w:after="0" w:afterAutospacing="0" w:line="360" w:lineRule="auto"/>
        <w:widowControl w:val="off"/>
        <w:tabs>
          <w:tab w:val="left" w:pos="420" w:leader="none"/>
          <w:tab w:val="left" w:pos="945" w:leader="none"/>
          <w:tab w:val="left" w:pos="1155" w:leader="none"/>
        </w:tabs>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2、投标供应商评价（</w:t>
      </w:r>
      <w:r>
        <w:rPr>
          <w:rFonts w:hint="eastAsia" w:ascii="宋体" w:hAnsi="宋体" w:cs="宋体"/>
          <w:b/>
          <w:bCs/>
          <w:color w:val="auto"/>
          <w:sz w:val="24"/>
          <w:szCs w:val="24"/>
          <w:highlight w:val="none"/>
          <w:lang w:val="en-US" w:eastAsia="zh-CN" w:bidi="ar"/>
        </w:rPr>
        <w:t xml:space="preserve">22</w:t>
      </w:r>
      <w:r>
        <w:rPr>
          <w:rFonts w:hint="eastAsia" w:ascii="宋体" w:hAnsi="宋体" w:eastAsia="宋体" w:cs="宋体"/>
          <w:b/>
          <w:bCs/>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（1）技术能力（</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cs="宋体"/>
          <w:color w:val="auto"/>
          <w:sz w:val="24"/>
          <w:szCs w:val="24"/>
          <w:highlight w:val="none"/>
          <w:shd w:val="clear" w:color="auto" w:fill="ffffff"/>
          <w:lang w:val="en-US" w:eastAsia="zh-CN" w:bidi="ar"/>
        </w:rPr>
        <w:t xml:space="preserve">①</w:t>
      </w:r>
      <w:r>
        <w:rPr>
          <w:rFonts w:hint="eastAsia" w:ascii="宋体" w:hAnsi="宋体" w:eastAsia="宋体" w:cs="宋体"/>
          <w:color w:val="auto"/>
          <w:sz w:val="24"/>
          <w:szCs w:val="24"/>
          <w:highlight w:val="none"/>
          <w:shd w:val="clear" w:color="auto" w:fill="ffffff"/>
          <w:lang w:val="en-US" w:eastAsia="zh-CN" w:bidi="ar"/>
        </w:rPr>
        <w:t xml:space="preserve">单位资质（1分）：具备“高新技术企业”称号的得</w:t>
      </w:r>
      <w:r>
        <w:rPr>
          <w:rFonts w:hint="eastAsia" w:ascii="宋体" w:hAnsi="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分【提供相关证明文件扫描件上传至电子投标文件，未按要求提供不得分】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cs="宋体"/>
          <w:color w:val="auto"/>
          <w:sz w:val="24"/>
          <w:szCs w:val="24"/>
          <w:highlight w:val="none"/>
          <w:shd w:val="clear" w:color="auto" w:fill="ffffff"/>
          <w:lang w:val="en-US" w:eastAsia="zh-CN" w:bidi="ar"/>
        </w:rPr>
        <w:t xml:space="preserve">②</w:t>
      </w:r>
      <w:r>
        <w:rPr>
          <w:rFonts w:hint="eastAsia" w:ascii="宋体" w:hAnsi="宋体" w:eastAsia="宋体" w:cs="宋体"/>
          <w:color w:val="auto"/>
          <w:sz w:val="24"/>
          <w:szCs w:val="24"/>
          <w:highlight w:val="none"/>
          <w:shd w:val="clear" w:color="auto" w:fill="ffffff"/>
          <w:lang w:val="en-US" w:eastAsia="zh-CN" w:bidi="ar"/>
        </w:rPr>
        <w:t xml:space="preserve">能力验证（3分）：根据</w:t>
      </w:r>
      <w:r>
        <w:rPr>
          <w:rFonts w:hint="eastAsia" w:ascii="宋体" w:hAnsi="宋体" w:eastAsia="宋体" w:cs="宋体"/>
          <w:color w:val="auto"/>
          <w:sz w:val="24"/>
          <w:szCs w:val="24"/>
          <w:highlight w:val="none"/>
          <w:shd w:val="clear" w:color="auto" w:fill="ffffff"/>
          <w:lang w:val="en-US" w:eastAsia="zh-CN" w:bidi="ar"/>
        </w:rPr>
        <w:t xml:space="preserve">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年度</w:t>
      </w:r>
      <w:r>
        <w:rPr>
          <w:rFonts w:hint="eastAsia" w:ascii="宋体" w:hAnsi="宋体" w:eastAsia="宋体" w:cs="宋体"/>
          <w:color w:val="auto"/>
          <w:sz w:val="24"/>
          <w:szCs w:val="24"/>
          <w:highlight w:val="none"/>
          <w:shd w:val="clear" w:color="auto" w:fill="ffffff"/>
          <w:lang w:val="en-US" w:eastAsia="zh-CN" w:bidi="ar"/>
        </w:rPr>
        <w:t xml:space="preserve">以来投标供应商参加的市级及以上主管部门组织的或计量认证和中国实验室认可委员会组织的能力验证及实验室比对情况综合评定，提供15份（含15份）合格的能力验证报告得1分，每多提供4份合格的能力验证报告得1分，本项最高得3分【需提供能力验证报告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w:t>
      </w:r>
      <w:r>
        <w:rPr>
          <w:rFonts w:hint="eastAsia" w:ascii="宋体" w:hAnsi="宋体" w:cs="宋体"/>
          <w:color w:val="auto"/>
          <w:sz w:val="24"/>
          <w:szCs w:val="24"/>
          <w:highlight w:val="none"/>
          <w:shd w:val="clear" w:color="auto" w:fill="ffffff"/>
          <w:lang w:val="en-US" w:eastAsia="zh-CN" w:bidi="ar"/>
        </w:rPr>
        <w:t xml:space="preserve">技术人员能力水平</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根据投标人提供的投标单位人员组成情况。在职人员拥有环境类、化工类、化学类等相关专业中级职称</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eastAsia="宋体" w:cs="宋体"/>
          <w:color w:val="auto"/>
          <w:sz w:val="24"/>
          <w:szCs w:val="24"/>
          <w:highlight w:val="none"/>
          <w:shd w:val="clear" w:color="auto" w:fill="ffffff"/>
          <w:lang w:val="en-US" w:eastAsia="zh-CN" w:bidi="ar"/>
        </w:rPr>
        <w:t xml:space="preserve">1</w:t>
      </w:r>
      <w:r>
        <w:rPr>
          <w:rFonts w:hint="eastAsia" w:ascii="宋体" w:hAnsi="宋体" w:cs="宋体"/>
          <w:color w:val="auto"/>
          <w:sz w:val="24"/>
          <w:szCs w:val="24"/>
          <w:highlight w:val="none"/>
          <w:shd w:val="clear" w:color="auto" w:fill="ffffff"/>
          <w:lang w:val="en-US" w:eastAsia="zh-CN" w:bidi="ar"/>
        </w:rPr>
        <w:t xml:space="preserve">0</w:t>
      </w:r>
      <w:r>
        <w:rPr>
          <w:rFonts w:hint="eastAsia" w:ascii="宋体" w:hAnsi="宋体" w:eastAsia="宋体" w:cs="宋体"/>
          <w:color w:val="auto"/>
          <w:sz w:val="24"/>
          <w:szCs w:val="24"/>
          <w:highlight w:val="none"/>
          <w:shd w:val="clear" w:color="auto" w:fill="ffffff"/>
          <w:lang w:val="en-US" w:eastAsia="zh-CN" w:bidi="ar"/>
        </w:rPr>
        <w:t xml:space="preserve">人（含1</w:t>
      </w:r>
      <w:r>
        <w:rPr>
          <w:rFonts w:hint="eastAsia" w:ascii="宋体" w:hAnsi="宋体" w:cs="宋体"/>
          <w:color w:val="auto"/>
          <w:sz w:val="24"/>
          <w:szCs w:val="24"/>
          <w:highlight w:val="none"/>
          <w:shd w:val="clear" w:color="auto" w:fill="ffffff"/>
          <w:lang w:val="en-US" w:eastAsia="zh-CN" w:bidi="ar"/>
        </w:rPr>
        <w:t xml:space="preserve">0</w:t>
      </w:r>
      <w:r>
        <w:rPr>
          <w:rFonts w:hint="eastAsia" w:ascii="宋体" w:hAnsi="宋体" w:eastAsia="宋体" w:cs="宋体"/>
          <w:color w:val="auto"/>
          <w:sz w:val="24"/>
          <w:szCs w:val="24"/>
          <w:highlight w:val="none"/>
          <w:shd w:val="clear" w:color="auto" w:fill="ffffff"/>
          <w:lang w:val="en-US" w:eastAsia="zh-CN" w:bidi="ar"/>
        </w:rPr>
        <w:t xml:space="preserve">人）的得1分，每多</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人得1分，最高得2分；拥有环境类、化工类、化学类等相关专业高级职称</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人以上的得1分，</w:t>
      </w:r>
      <w:r>
        <w:rPr>
          <w:rFonts w:hint="eastAsia" w:ascii="宋体" w:hAnsi="宋体" w:cs="宋体"/>
          <w:color w:val="auto"/>
          <w:sz w:val="24"/>
          <w:szCs w:val="24"/>
          <w:highlight w:val="none"/>
          <w:shd w:val="clear" w:color="auto" w:fill="ffffff"/>
          <w:lang w:val="en-US" w:eastAsia="zh-CN" w:bidi="ar"/>
        </w:rPr>
        <w:t xml:space="preserve">8人以上</w:t>
      </w:r>
      <w:r>
        <w:rPr>
          <w:rFonts w:hint="eastAsia" w:ascii="宋体" w:hAnsi="宋体" w:eastAsia="宋体" w:cs="宋体"/>
          <w:color w:val="auto"/>
          <w:sz w:val="24"/>
          <w:szCs w:val="24"/>
          <w:highlight w:val="none"/>
          <w:shd w:val="clear" w:color="auto" w:fill="ffffff"/>
          <w:lang w:val="en-US" w:eastAsia="zh-CN" w:bidi="ar"/>
        </w:rPr>
        <w:t xml:space="preserve">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cs="宋体"/>
          <w:color w:val="auto"/>
          <w:sz w:val="24"/>
          <w:szCs w:val="24"/>
          <w:highlight w:val="none"/>
          <w:shd w:val="clear" w:color="auto" w:fill="ffffff"/>
          <w:lang w:val="en-US" w:eastAsia="zh-CN" w:bidi="ar"/>
        </w:rPr>
        <w:t xml:space="preserve">，最高得3分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【提供投标供应商</w:t>
      </w:r>
      <w:r>
        <w:rPr>
          <w:rFonts w:hint="eastAsia" w:ascii="宋体" w:hAnsi="宋体" w:eastAsia="宋体" w:cs="宋体"/>
          <w:bCs/>
          <w:color w:val="auto"/>
          <w:sz w:val="24"/>
          <w:szCs w:val="24"/>
          <w:highlight w:val="none"/>
          <w:lang w:val="en-US" w:eastAsia="zh-CN" w:bidi="ar"/>
        </w:rPr>
        <w:t xml:space="preserve">为以上人员近三个月中任意一个月份（不含投标当月）缴纳社保的证明、以上人员的职称证书</w:t>
      </w:r>
      <w:r>
        <w:rPr>
          <w:rFonts w:hint="eastAsia" w:ascii="宋体" w:hAnsi="宋体" w:eastAsia="宋体" w:cs="宋体"/>
          <w:color w:val="auto"/>
          <w:sz w:val="24"/>
          <w:szCs w:val="24"/>
          <w:highlight w:val="none"/>
          <w:shd w:val="clear" w:color="auto" w:fill="ffffff"/>
          <w:lang w:val="en-US" w:eastAsia="zh-CN" w:bidi="ar"/>
        </w:rPr>
        <w:t xml:space="preserve">扫描件上传至电子投标文件</w:t>
      </w:r>
      <w:r>
        <w:rPr>
          <w:rFonts w:hint="eastAsia" w:ascii="宋体" w:hAnsi="宋体" w:eastAsia="宋体" w:cs="宋体"/>
          <w:bCs/>
          <w:color w:val="auto"/>
          <w:sz w:val="24"/>
          <w:szCs w:val="24"/>
          <w:highlight w:val="none"/>
          <w:lang w:val="en-US" w:eastAsia="zh-CN" w:bidi="ar"/>
        </w:rPr>
        <w:t xml:space="preserve">，未按要求提供不得分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（3）实验室条件（</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满足本次检测项目所需的有效期内的主要检测分析设备，具备气相色谱仪-质谱联用仪，电感耦合等离子体光谱仪，电感耦合等离子体质谱仪，液相色谱-三重四极杆质谱法上述设备中任意2台设备的得1分，4台设备全部具备的得3分，本项最高得3分【提供仪器购买发票或租赁证明材料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（4）监测业绩与荣誉（</w:t>
      </w:r>
      <w:r>
        <w:rPr>
          <w:rFonts w:hint="eastAsia" w:ascii="宋体" w:hAnsi="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cs="宋体"/>
          <w:color w:val="auto"/>
          <w:sz w:val="24"/>
          <w:szCs w:val="24"/>
          <w:highlight w:val="none"/>
          <w:shd w:val="clear" w:color="auto" w:fill="ffffff"/>
          <w:lang w:val="en-US" w:eastAsia="zh-CN" w:bidi="ar"/>
        </w:rPr>
        <w:t xml:space="preserve">①</w:t>
      </w:r>
      <w:r>
        <w:rPr>
          <w:rFonts w:hint="eastAsia" w:ascii="宋体" w:hAnsi="宋体" w:eastAsia="宋体" w:cs="宋体"/>
          <w:color w:val="auto"/>
          <w:sz w:val="24"/>
          <w:szCs w:val="24"/>
          <w:highlight w:val="none"/>
          <w:shd w:val="clear" w:color="auto" w:fill="ffffff"/>
          <w:lang w:val="en-US" w:eastAsia="zh-CN" w:bidi="ar"/>
        </w:rPr>
        <w:t xml:space="preserve">提供202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年以来承担过县（区）级及以上政府相关部门</w:t>
      </w:r>
      <w:r>
        <w:rPr>
          <w:rFonts w:hint="eastAsia" w:ascii="宋体" w:hAnsi="宋体" w:cs="宋体"/>
          <w:color w:val="auto"/>
          <w:sz w:val="24"/>
          <w:szCs w:val="24"/>
          <w:highlight w:val="none"/>
          <w:shd w:val="clear" w:color="auto" w:fill="ffffff"/>
          <w:lang w:val="en-US" w:eastAsia="zh-CN" w:bidi="ar"/>
        </w:rPr>
        <w:t xml:space="preserve">同类</w:t>
      </w:r>
      <w:r>
        <w:rPr>
          <w:rFonts w:hint="eastAsia" w:ascii="宋体" w:hAnsi="宋体" w:eastAsia="宋体" w:cs="宋体"/>
          <w:color w:val="auto"/>
          <w:sz w:val="24"/>
          <w:szCs w:val="24"/>
          <w:highlight w:val="none"/>
          <w:shd w:val="clear" w:color="auto" w:fill="ffffff"/>
          <w:lang w:val="en-US" w:eastAsia="zh-CN" w:bidi="ar"/>
        </w:rPr>
        <w:t xml:space="preserve">项目业绩的，省级（含省级）以上业绩得</w:t>
      </w:r>
      <w:r>
        <w:rPr>
          <w:rFonts w:hint="eastAsia" w:ascii="宋体" w:hAnsi="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市级、县（区）级业绩得</w:t>
      </w:r>
      <w:r>
        <w:rPr>
          <w:rFonts w:hint="eastAsia" w:ascii="宋体" w:hAnsi="宋体" w:cs="宋体"/>
          <w:color w:val="auto"/>
          <w:sz w:val="24"/>
          <w:szCs w:val="24"/>
          <w:highlight w:val="none"/>
          <w:shd w:val="clear" w:color="auto" w:fill="ffffff"/>
          <w:lang w:val="en-US" w:eastAsia="zh-CN" w:bidi="ar"/>
        </w:rPr>
        <w:t xml:space="preserve">1</w:t>
      </w:r>
      <w:r>
        <w:rPr>
          <w:rFonts w:hint="eastAsia" w:ascii="宋体" w:hAnsi="宋体" w:eastAsia="宋体" w:cs="宋体"/>
          <w:color w:val="auto"/>
          <w:sz w:val="24"/>
          <w:szCs w:val="24"/>
          <w:highlight w:val="none"/>
          <w:shd w:val="clear" w:color="auto" w:fill="ffffff"/>
          <w:lang w:val="en-US" w:eastAsia="zh-CN" w:bidi="ar"/>
        </w:rPr>
        <w:t xml:space="preserve">分；本项最高得</w:t>
      </w:r>
      <w:r>
        <w:rPr>
          <w:rFonts w:hint="eastAsia" w:ascii="宋体" w:hAnsi="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分【以合同签订时间为准，提供合同扫描件上传至电子投标文件，未按要求提供不得分】</w:t>
      </w:r>
      <w:r/>
    </w:p>
    <w:p>
      <w:pPr>
        <w:pStyle w:val="705"/>
        <w:ind w:left="0" w:firstLine="480"/>
        <w:keepLines w:val="0"/>
        <w:keepNext w:val="0"/>
        <w:spacing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cs="宋体"/>
          <w:color w:val="auto"/>
          <w:sz w:val="24"/>
          <w:szCs w:val="24"/>
          <w:highlight w:val="none"/>
          <w:shd w:val="clear" w:color="auto" w:fill="ffffff"/>
          <w:lang w:val="en-US" w:eastAsia="zh-CN"/>
        </w:rPr>
        <w:t xml:space="preserve">②</w:t>
      </w:r>
      <w:r>
        <w:rPr>
          <w:rFonts w:hint="eastAsia" w:ascii="宋体" w:hAnsi="宋体" w:eastAsia="宋体" w:cs="宋体"/>
          <w:color w:val="auto"/>
          <w:sz w:val="24"/>
          <w:szCs w:val="24"/>
          <w:highlight w:val="none"/>
          <w:shd w:val="clear" w:color="auto" w:fill="ffffff"/>
        </w:rPr>
        <w:t xml:space="preserve">取得省级（含省级）以上荣誉的（公司或个人均可）每个得1.5分，最高得3分；取得县（区）级以上荣誉的（公司或个人均可）</w:t>
      </w:r>
      <w:r>
        <w:rPr>
          <w:rFonts w:hint="eastAsia" w:ascii="宋体" w:hAnsi="宋体" w:eastAsia="宋体" w:cs="宋体"/>
          <w:color w:val="auto"/>
          <w:sz w:val="24"/>
          <w:szCs w:val="24"/>
          <w:highlight w:val="none"/>
          <w:shd w:val="clear" w:color="auto" w:fill="ffffff"/>
        </w:rPr>
        <w:t xml:space="preserve">每个得</w:t>
      </w:r>
      <w:r>
        <w:rPr>
          <w:rFonts w:hint="eastAsia" w:ascii="宋体" w:hAnsi="宋体" w:eastAsia="宋体" w:cs="宋体"/>
          <w:color w:val="auto"/>
          <w:sz w:val="24"/>
          <w:szCs w:val="24"/>
          <w:highlight w:val="none"/>
          <w:shd w:val="clear" w:color="auto" w:fill="ffffff"/>
          <w:lang w:val="en-US" w:eastAsia="zh-CN"/>
        </w:rPr>
        <w:t xml:space="preserve">0.</w:t>
      </w:r>
      <w:r>
        <w:rPr>
          <w:rFonts w:hint="eastAsia" w:ascii="宋体" w:hAnsi="宋体" w:eastAsia="宋体" w:cs="宋体"/>
          <w:color w:val="auto"/>
          <w:sz w:val="24"/>
          <w:szCs w:val="24"/>
          <w:highlight w:val="none"/>
          <w:shd w:val="clear" w:color="auto" w:fill="ffffff"/>
        </w:rPr>
        <w:t xml:space="preserve">5分</w:t>
      </w:r>
      <w:r>
        <w:rPr>
          <w:rFonts w:hint="eastAsia" w:ascii="宋体" w:hAnsi="宋体" w:eastAsia="宋体" w:cs="宋体"/>
          <w:color w:val="auto"/>
          <w:sz w:val="24"/>
          <w:szCs w:val="24"/>
          <w:highlight w:val="none"/>
          <w:shd w:val="clear" w:color="auto" w:fill="ffffff"/>
        </w:rPr>
        <w:t xml:space="preserve">，最高得</w:t>
      </w:r>
      <w:r>
        <w:rPr>
          <w:rFonts w:hint="eastAsia" w:ascii="宋体" w:hAnsi="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rPr>
        <w:t xml:space="preserve">分；本项最高得</w:t>
      </w:r>
      <w:r>
        <w:rPr>
          <w:rFonts w:hint="eastAsia" w:ascii="宋体" w:hAnsi="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分【提供合同或证明材料扫描件上传至电子投标文件，未按要求提供不得分】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（5）服务响应（</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pStyle w:val="724"/>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shd w:val="clear" w:color="auto" w:fill="ffffff"/>
          <w:lang w:val="en-US" w:eastAsia="zh-CN" w:bidi="ar"/>
        </w:rPr>
        <w:t xml:space="preserve">应急情况下响应并到达无锡市新吴生态环境局（无锡市新吴区交大联云科技园，清晏路与净慧东路交叉路口）的时间：25分钟（含25分钟）之内的得</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26-50分钟（含50分钟）之内的得2分，超过50分钟不得分【投标供应商须说明行程，交通方式等能充分保证可到达的理由，评委根据是否可能实现评定；提供证明文件材料扫描件上传至电子投标文件，未按要求提供不得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3.技术文件（暗标）（</w:t>
      </w:r>
      <w:r>
        <w:rPr>
          <w:rFonts w:hint="eastAsia" w:ascii="宋体" w:hAnsi="宋体" w:eastAsia="宋体" w:cs="宋体"/>
          <w:b/>
          <w:bCs/>
          <w:color w:val="auto"/>
          <w:sz w:val="24"/>
          <w:szCs w:val="24"/>
          <w:highlight w:val="none"/>
          <w:lang w:val="en-US" w:eastAsia="zh-CN" w:bidi="ar"/>
        </w:rPr>
        <w:t xml:space="preserve">4</w:t>
      </w:r>
      <w:r>
        <w:rPr>
          <w:rFonts w:hint="eastAsia" w:ascii="宋体" w:hAnsi="宋体" w:cs="宋体"/>
          <w:b/>
          <w:bCs/>
          <w:color w:val="auto"/>
          <w:sz w:val="24"/>
          <w:szCs w:val="24"/>
          <w:highlight w:val="none"/>
          <w:lang w:val="en-US" w:eastAsia="zh-CN" w:bidi="ar"/>
        </w:rPr>
        <w:t xml:space="preserve">8</w:t>
      </w:r>
      <w:r>
        <w:rPr>
          <w:rFonts w:hint="eastAsia" w:ascii="宋体" w:hAnsi="宋体" w:eastAsia="宋体" w:cs="宋体"/>
          <w:b/>
          <w:bCs/>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val="en-US" w:eastAsia="zh-CN" w:bidi="ar"/>
        </w:rPr>
        <w:t xml:space="preserve">）</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u w:val="single"/>
        </w:rPr>
        <w:suppressLineNumbers w:val="0"/>
      </w:pPr>
      <w:r>
        <w:rPr>
          <w:rFonts w:hint="eastAsia" w:ascii="宋体" w:hAnsi="宋体" w:eastAsia="宋体" w:cs="宋体"/>
          <w:b/>
          <w:bCs w:val="0"/>
          <w:color w:val="auto"/>
          <w:sz w:val="24"/>
          <w:szCs w:val="24"/>
          <w:highlight w:val="none"/>
          <w:u w:val="single"/>
          <w:lang w:val="en-US" w:eastAsia="zh-CN" w:bidi="ar"/>
        </w:rPr>
        <w:t xml:space="preserve">注：技术文件部分属于暗标，投标人在制作技术文件部分相关内容时不得有体现投标人身份的内容，否则投标无效。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（1）监测实施方案（</w:t>
      </w:r>
      <w:r>
        <w:rPr>
          <w:rFonts w:hint="eastAsia" w:ascii="宋体" w:hAnsi="宋体" w:eastAsia="宋体" w:cs="宋体"/>
          <w:color w:val="auto"/>
          <w:sz w:val="24"/>
          <w:szCs w:val="24"/>
          <w:highlight w:val="none"/>
          <w:shd w:val="clear" w:color="auto" w:fill="ffffff"/>
          <w:lang w:val="en-US" w:eastAsia="zh-CN" w:bidi="ar"/>
        </w:rPr>
        <w:t xml:space="preserve">3</w:t>
      </w:r>
      <w:r>
        <w:rPr>
          <w:rFonts w:hint="eastAsia" w:ascii="宋体" w:hAnsi="宋体" w:cs="宋体"/>
          <w:color w:val="auto"/>
          <w:sz w:val="24"/>
          <w:szCs w:val="24"/>
          <w:highlight w:val="none"/>
          <w:shd w:val="clear" w:color="auto" w:fill="ffffff"/>
          <w:lang w:val="en-US" w:eastAsia="zh-CN" w:bidi="ar"/>
        </w:rPr>
        <w:t xml:space="preserve">8</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根据投标供应商为重点排污单位监测项目提供的实施方案的完整性、可行性等情况酌情评分。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①前期准备（8分）：内容详实、需求贴合度高且条理清晰的该条得8分；内容较为简单、可行、细节待完善的该条得5分；内容粗略、无针对性、基本满足采购需求的该条得2分。本项最高得8分，每缺少一条内容或内容存在不能满足采购需求，或存在逻辑错误、前后矛盾，或存在违反现行相关规范的，该条不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②监测方案（</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③现场监测（</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④报告与结论（</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（2）质控措施及服务承诺（</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编制重点排污单位监测全过程中质量管理和质量控制措施，内容详实、需求贴合度高且条理清晰的该条得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；内容较为简单、可行、细节待完善的该条得</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；内容粗略、无针对性、基本满足采购需求的该条得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。本项最高得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，每缺少一条内容或内容存在不能满足采购需求，或存在逻辑错误、前后矛盾，或存在违反现行相关规范的，该条不得分。</w:t>
      </w:r>
      <w:r/>
    </w:p>
    <w:p>
      <w:pPr>
        <w:pStyle w:val="708"/>
        <w:ind w:firstLine="482"/>
        <w:rPr>
          <w:rFonts w:hint="eastAsia"/>
          <w:color w:val="auto"/>
          <w:highlight w:val="none"/>
        </w:rPr>
        <w:sectPr>
          <w:headerReference w:type="default" r:id="rId9"/>
          <w:footerReference w:type="default" r:id="rId10"/>
          <w:footnotePr/>
          <w:endnotePr/>
          <w:type w:val="nextPage"/>
          <w:pgSz w:w="11906" w:h="16838" w:orient="portrait"/>
          <w:pgMar w:top="1440" w:right="1080" w:bottom="1440" w:left="1080" w:header="624" w:footer="907" w:gutter="0"/>
          <w:cols w:num="1" w:sep="0" w:space="1701" w:equalWidth="1"/>
          <w:docGrid w:linePitch="360"/>
        </w:sectPr>
      </w:pPr>
      <w:r>
        <w:rPr>
          <w:rFonts w:hint="eastAsia" w:ascii="宋体" w:hAnsi="宋体" w:eastAsia="宋体" w:cs="宋体"/>
          <w:b/>
          <w:bCs/>
          <w:color w:val="auto"/>
          <w:sz w:val="24"/>
          <w:szCs w:val="24"/>
          <w:highlight w:val="none"/>
          <w:lang w:val="en-US" w:eastAsia="zh-CN" w:bidi="ar"/>
        </w:rPr>
        <w:t xml:space="preserve">未列入本评分细则的其他条件不作为评分内容。</w:t>
      </w:r>
      <w:r/>
    </w:p>
    <w:p>
      <w:pPr>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JSZC-320214-JSZH-G2026-0039</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2026年重点排污单位监测项目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  月  日</w:t>
      </w:r>
      <w:r/>
    </w:p>
    <w:p>
      <w:pPr>
        <w:rPr>
          <w:rFonts w:ascii="黑体" w:hAnsi="宋体" w:eastAsia="黑体"/>
          <w:bCs/>
          <w:color w:val="auto"/>
          <w:sz w:val="24"/>
          <w:szCs w:val="24"/>
          <w:highlight w:val="none"/>
        </w:rPr>
      </w:pPr>
      <w:r/>
      <w:bookmarkStart w:id="16" w:name="一．报价函（格式）"/>
      <w:r/>
      <w:bookmarkEnd w:id="16"/>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89"/>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7" w:name="报价方关于资格的声明函（格式）"/>
      <w:r/>
      <w:bookmarkEnd w:id="17"/>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w:t>
      </w:r>
      <w:r>
        <w:rPr>
          <w:rFonts w:hint="eastAsia" w:ascii="黑体" w:hAnsi="宋体" w:eastAsia="黑体"/>
          <w:bCs/>
          <w:color w:val="auto"/>
          <w:sz w:val="24"/>
          <w:szCs w:val="24"/>
          <w:highlight w:val="none"/>
          <w:lang w:eastAsia="zh-CN"/>
        </w:rPr>
        <w:t xml:space="preserve">服务保障承诺书</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90"/>
          <w:rFonts w:hint="eastAsia" w:ascii="宋体" w:hAnsi="宋体"/>
          <w:bCs/>
          <w:color w:val="auto"/>
          <w:sz w:val="24"/>
          <w:szCs w:val="24"/>
          <w:highlight w:val="none"/>
        </w:rPr>
        <w:t xml:space="preserve">www.creditchina.gov.cn</w:t>
      </w:r>
      <w:r>
        <w:rPr>
          <w:rStyle w:val="890"/>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olor w:val="auto"/>
          <w:sz w:val="24"/>
          <w:szCs w:val="24"/>
          <w:highlight w:val="none"/>
        </w:rPr>
        <w:t xml:space="preserve">本公司（单位</w:t>
      </w:r>
      <w:r>
        <w:rPr>
          <w:rFonts w:hint="eastAsia" w:ascii="宋体" w:hAnsi="宋体" w:eastAsia="宋体" w:cs="Times New Roman"/>
          <w:color w:val="auto"/>
          <w:sz w:val="24"/>
          <w:szCs w:val="24"/>
          <w:highlight w:val="none"/>
        </w:rPr>
        <w:t xml:space="preserve">）未被市级及以上行政主管部门处罚暂停业务</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JSZC-320214-JSZH-G2026-0039</w:t>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5282" w:type="dxa"/>
            <w:vAlign w:val="center"/>
            <w:textDirection w:val="lrTb"/>
            <w:noWrap/>
          </w:tcPr>
          <w:p>
            <w:pPr>
              <w:pStyle w:val="1046"/>
              <w:jc w:val="center"/>
              <w:spacing w:line="400" w:lineRule="exact"/>
              <w:rPr>
                <w:rFonts w:hint="eastAsia" w:hAnsi="宋体"/>
                <w:bCs/>
                <w:color w:val="auto"/>
                <w:szCs w:val="24"/>
                <w:highlight w:val="none"/>
                <w:lang w:eastAsia="zh-CN"/>
              </w:rPr>
            </w:pPr>
            <w:r>
              <w:rPr>
                <w:rFonts w:hint="eastAsia" w:hAnsi="宋体"/>
                <w:bCs/>
                <w:color w:val="auto"/>
                <w:szCs w:val="24"/>
                <w:highlight w:val="none"/>
                <w:lang w:eastAsia="zh-CN"/>
              </w:rPr>
              <w:t xml:space="preserve">2026年重点排污单位监测项目</w:t>
            </w:r>
            <w:r/>
          </w:p>
          <w:p>
            <w:pPr>
              <w:pStyle w:val="1046"/>
              <w:jc w:val="center"/>
              <w:spacing w:line="400" w:lineRule="exact"/>
              <w:rPr>
                <w:rFonts w:hint="eastAsia" w:ascii="宋体" w:hAnsi="宋体" w:eastAsia="宋体" w:cs="宋体"/>
                <w:color w:val="auto"/>
                <w:sz w:val="24"/>
                <w:szCs w:val="24"/>
                <w:highlight w:val="none"/>
                <w:lang w:val="en-US" w:eastAsia="zh-CN"/>
              </w:rPr>
            </w:pPr>
            <w:r>
              <w:rPr>
                <w:rFonts w:hint="eastAsia" w:hAnsi="宋体"/>
                <w:bCs/>
                <w:color w:val="auto"/>
                <w:szCs w:val="24"/>
                <w:highlight w:val="none"/>
                <w:lang w:eastAsia="zh-CN"/>
              </w:rPr>
              <w:t xml:space="preserve">（</w:t>
            </w:r>
            <w:r>
              <w:rPr>
                <w:rFonts w:hint="eastAsia" w:hAnsi="宋体"/>
                <w:bCs/>
                <w:color w:val="auto"/>
                <w:szCs w:val="24"/>
                <w:highlight w:val="none"/>
                <w:lang w:val="en-US" w:eastAsia="zh-CN"/>
              </w:rPr>
              <w:t xml:space="preserve">   标段）</w:t>
            </w:r>
            <w:r>
              <w:rPr>
                <w:rFonts w:hint="eastAsia" w:ascii="宋体" w:hAnsi="宋体" w:eastAsia="宋体" w:cs="宋体"/>
                <w:b/>
                <w:bCs/>
                <w:color w:val="auto"/>
                <w:sz w:val="24"/>
                <w:szCs w:val="24"/>
                <w:highlight w:val="none"/>
                <w:lang w:val="en-US" w:eastAsia="zh-CN"/>
              </w:rPr>
              <w:t xml:space="preserve">优惠率</w:t>
            </w:r>
            <w:r/>
          </w:p>
          <w:p>
            <w:pPr>
              <w:pStyle w:val="1046"/>
              <w:jc w:val="center"/>
              <w:spacing w:line="400" w:lineRule="exact"/>
              <w:rPr>
                <w:rFonts w:hint="default" w:hAnsi="宋体" w:eastAsia="宋体"/>
                <w:bCs/>
                <w:color w:val="auto"/>
                <w:szCs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（优惠率=1-折扣率）</w:t>
            </w:r>
            <w:r/>
          </w:p>
        </w:tc>
        <w:tc>
          <w:tcPr>
            <w:tcW w:w="4798" w:type="dxa"/>
            <w:vAlign w:val="center"/>
            <w:textDirection w:val="lrTb"/>
            <w:noWrap/>
          </w:tcPr>
          <w:p>
            <w:pPr>
              <w:pStyle w:val="1046"/>
              <w:spacing w:line="360" w:lineRule="auto"/>
              <w:rPr>
                <w:bCs/>
                <w:color w:val="auto"/>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评标时一律按开标一览表中内容为准，开标一览表中必须盖章或签字。</w:t>
      </w:r>
      <w:r/>
    </w:p>
    <w:p>
      <w:pPr>
        <w:spacing w:line="5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每个标段的</w:t>
      </w:r>
      <w:r>
        <w:rPr>
          <w:rFonts w:hint="eastAsia" w:ascii="宋体" w:hAnsi="宋体" w:eastAsia="宋体" w:cs="宋体"/>
          <w:b/>
          <w:bCs/>
          <w:color w:val="auto"/>
          <w:sz w:val="24"/>
          <w:highlight w:val="none"/>
          <w:lang w:val="en-US" w:eastAsia="zh-CN"/>
        </w:rPr>
        <w:t xml:space="preserve">采购预算</w:t>
      </w:r>
      <w:r>
        <w:rPr>
          <w:rFonts w:hint="eastAsia" w:ascii="宋体" w:hAnsi="宋体" w:eastAsia="宋体" w:cs="宋体"/>
          <w:b/>
          <w:bCs/>
          <w:color w:val="auto"/>
          <w:sz w:val="24"/>
          <w:highlight w:val="none"/>
        </w:rPr>
        <w:t xml:space="preserve">金额</w:t>
      </w:r>
      <w:r>
        <w:rPr>
          <w:rFonts w:hint="eastAsia" w:ascii="宋体" w:hAnsi="宋体" w:eastAsia="宋体" w:cs="宋体"/>
          <w:b/>
          <w:bCs/>
          <w:color w:val="auto"/>
          <w:sz w:val="24"/>
          <w:highlight w:val="none"/>
        </w:rPr>
        <w:t xml:space="preserve">根据《江苏省环境监测专业服务收费标准》规定的</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0%来测算</w:t>
      </w:r>
      <w:r>
        <w:rPr>
          <w:rFonts w:hint="eastAsia" w:ascii="宋体" w:hAnsi="宋体" w:eastAsia="宋体" w:cs="宋体"/>
          <w:b/>
          <w:bCs/>
          <w:color w:val="auto"/>
          <w:sz w:val="24"/>
          <w:highlight w:val="none"/>
        </w:rPr>
        <w:t xml:space="preserve">所得</w:t>
      </w:r>
      <w:r>
        <w:rPr>
          <w:rFonts w:hint="eastAsia" w:ascii="宋体" w:hAnsi="宋体" w:eastAsia="宋体" w:cs="宋体"/>
          <w:b/>
          <w:bCs/>
          <w:color w:val="auto"/>
          <w:sz w:val="24"/>
          <w:highlight w:val="none"/>
          <w:lang w:val="en-US" w:eastAsia="zh-CN"/>
        </w:rPr>
        <w:t xml:space="preserve">。</w:t>
      </w:r>
      <w:r/>
    </w:p>
    <w:p>
      <w:pPr>
        <w:rPr>
          <w:rFonts w:hint="eastAsia" w:ascii="黑体" w:hAnsi="宋体" w:eastAsia="黑体"/>
          <w:bCs/>
          <w:color w:val="auto"/>
          <w:sz w:val="24"/>
          <w:szCs w:val="24"/>
          <w:highlight w:val="none"/>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黑体" w:hAnsi="宋体" w:eastAsia="黑体"/>
          <w:bCs/>
          <w:color w:val="auto"/>
          <w:sz w:val="24"/>
          <w:szCs w:val="24"/>
          <w:highlight w:val="none"/>
        </w:rPr>
      </w:r>
      <w:r/>
    </w:p>
    <w:p>
      <w:pPr>
        <w:rPr>
          <w:rFonts w:ascii="宋体" w:hAnsi="宋体" w:eastAsia="宋体"/>
          <w:bCs/>
          <w:color w:val="auto"/>
          <w:sz w:val="24"/>
          <w:highlight w:val="none"/>
        </w:rPr>
      </w:pPr>
      <w:r>
        <w:rPr>
          <w:rFonts w:hint="eastAsia" w:ascii="黑体" w:hAnsi="宋体" w:eastAsia="黑体"/>
          <w:bCs/>
          <w:color w:val="auto"/>
          <w:sz w:val="24"/>
          <w:highlight w:val="none"/>
          <w:lang w:eastAsia="zh-CN"/>
        </w:rPr>
        <w:t xml:space="preserve">（</w:t>
      </w:r>
      <w:r>
        <w:rPr>
          <w:rFonts w:hint="eastAsia" w:ascii="黑体" w:hAnsi="宋体" w:eastAsia="黑体"/>
          <w:bCs/>
          <w:color w:val="auto"/>
          <w:sz w:val="24"/>
          <w:highlight w:val="none"/>
          <w:lang w:val="en-US" w:eastAsia="zh-CN"/>
        </w:rPr>
        <w:t xml:space="preserve">八</w:t>
      </w:r>
      <w:r>
        <w:rPr>
          <w:rFonts w:hint="eastAsia" w:ascii="黑体" w:hAnsi="宋体" w:eastAsia="黑体"/>
          <w:bCs/>
          <w:color w:val="auto"/>
          <w:sz w:val="24"/>
          <w:highlight w:val="none"/>
          <w:lang w:eastAsia="zh-CN"/>
        </w:rPr>
        <w:t xml:space="preserve">）</w:t>
      </w:r>
      <w:r>
        <w:rPr>
          <w:rFonts w:hint="eastAsia" w:ascii="黑体" w:hAnsi="宋体" w:eastAsia="黑体"/>
          <w:bCs/>
          <w:color w:val="auto"/>
          <w:sz w:val="24"/>
          <w:highlight w:val="none"/>
        </w:rPr>
        <w:t xml:space="preserve">仪器设备（标准物质）配置一览表（格式）</w:t>
      </w:r>
      <w:r/>
    </w:p>
    <w:p>
      <w:pPr>
        <w:ind w:left="720" w:hanging="720"/>
        <w:jc w:val="center"/>
        <w:spacing w:line="400" w:lineRule="exact"/>
        <w:rPr>
          <w:rFonts w:ascii="宋体" w:hAnsi="宋体" w:eastAsia="宋体"/>
          <w:bCs/>
          <w:color w:val="auto"/>
          <w:sz w:val="24"/>
          <w:highlight w:val="none"/>
        </w:rPr>
      </w:pPr>
      <w:r>
        <w:rPr>
          <w:rFonts w:hint="eastAsia" w:ascii="宋体" w:hAnsi="宋体" w:eastAsia="宋体"/>
          <w:bCs/>
          <w:color w:val="auto"/>
          <w:sz w:val="24"/>
          <w:highlight w:val="none"/>
        </w:rPr>
        <w:t xml:space="preserve">仪器设备（标准物质）配置一览表</w:t>
      </w:r>
      <w:r/>
    </w:p>
    <w:p>
      <w:pPr>
        <w:rPr>
          <w:rFonts w:eastAsia="宋体"/>
          <w:bCs/>
          <w:color w:val="auto"/>
          <w:highlight w:val="none"/>
        </w:rPr>
      </w:pPr>
      <w:r>
        <w:rPr>
          <w:rFonts w:eastAsia="宋体"/>
          <w:bCs/>
          <w:color w:val="auto"/>
          <w:highlight w:val="none"/>
        </w:rPr>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742"/>
        <w:gridCol w:w="1418"/>
        <w:gridCol w:w="1559"/>
        <w:gridCol w:w="2977"/>
        <w:gridCol w:w="1275"/>
        <w:gridCol w:w="1560"/>
        <w:gridCol w:w="850"/>
        <w:gridCol w:w="1418"/>
        <w:gridCol w:w="992"/>
      </w:tblGrid>
      <w:tr>
        <w:trPr>
          <w:cantSplit/>
          <w:jc w:val="center"/>
          <w:trHeight w:val="549"/>
        </w:trPr>
        <w:tc>
          <w:tcPr>
            <w:tcBorders>
              <w:top w:val="single" w:color="auto" w:sz="4" w:space="0"/>
              <w:left w:val="single" w:color="auto" w:sz="4" w:space="0"/>
              <w:bottom w:val="single" w:color="auto" w:sz="4" w:space="0"/>
              <w:right w:val="single" w:color="auto" w:sz="4" w:space="0"/>
            </w:tcBorders>
            <w:tcW w:w="776"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42"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仪器设备名称</w:t>
            </w:r>
            <w:r/>
          </w:p>
        </w:tc>
        <w:tc>
          <w:tcPr>
            <w:tcBorders>
              <w:top w:val="single" w:color="auto" w:sz="4" w:space="0"/>
              <w:left w:val="single" w:color="auto" w:sz="4" w:space="0"/>
              <w:right w:val="single" w:color="auto" w:sz="4" w:space="0"/>
            </w:tcBorders>
            <w:tcW w:w="1418"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型号/规格</w:t>
            </w:r>
            <w:r/>
          </w:p>
        </w:tc>
        <w:tc>
          <w:tcPr>
            <w:tcBorders>
              <w:top w:val="single" w:color="auto" w:sz="4" w:space="0"/>
              <w:left w:val="single" w:color="auto" w:sz="4" w:space="0"/>
              <w:right w:val="single" w:color="auto" w:sz="4" w:space="0"/>
            </w:tcBorders>
            <w:tcW w:w="2977"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分析项目</w:t>
            </w:r>
            <w:r/>
          </w:p>
        </w:tc>
        <w:tc>
          <w:tcPr>
            <w:gridSpan w:val="2"/>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技术指标</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溯源方式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备注</w:t>
            </w:r>
            <w:r/>
          </w:p>
        </w:tc>
      </w:tr>
      <w:tr>
        <w:trPr>
          <w:cantSplit/>
          <w:jc w:val="center"/>
          <w:trHeight w:val="830"/>
        </w:trPr>
        <w:tc>
          <w:tcPr>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left w:val="single" w:color="auto" w:sz="4" w:space="0"/>
              <w:bottom w:val="single" w:color="auto" w:sz="4" w:space="0"/>
              <w:right w:val="single" w:color="auto" w:sz="4" w:space="0"/>
            </w:tcBorders>
            <w:tcW w:w="1418" w:type="dxa"/>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left w:val="single" w:color="auto" w:sz="4" w:space="0"/>
              <w:bottom w:val="single" w:color="auto" w:sz="4" w:space="0"/>
              <w:right w:val="single" w:color="auto" w:sz="4" w:space="0"/>
            </w:tcBorders>
            <w:tcW w:w="2977" w:type="dxa"/>
            <w:vMerge w:val="continue"/>
            <w:textDirection w:val="lrTb"/>
            <w:noWrap w:val="false"/>
          </w:tcPr>
          <w:p>
            <w:pPr>
              <w:jc w:val="cente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测量范围</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准确度等级/</w:t>
            </w:r>
            <w:r/>
          </w:p>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不确定度</w:t>
            </w:r>
            <w:r/>
          </w:p>
        </w:tc>
        <w:tc>
          <w:tcPr>
            <w:tcBorders>
              <w:left w:val="single" w:color="auto" w:sz="4" w:space="0"/>
              <w:bottom w:val="single" w:color="auto" w:sz="4" w:space="0"/>
              <w:right w:val="single" w:color="auto" w:sz="4" w:space="0"/>
            </w:tcBorders>
            <w:tcW w:w="850" w:type="dxa"/>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bl>
    <w:p>
      <w:pPr>
        <w:ind w:right="-655"/>
        <w:rPr>
          <w:rFonts w:eastAsia="宋体"/>
          <w:color w:val="auto"/>
          <w:highlight w:val="none"/>
        </w:rPr>
      </w:pPr>
      <w:r>
        <w:rPr>
          <w:rFonts w:eastAsia="宋体"/>
          <w:color w:val="auto"/>
          <w:highlight w:val="none"/>
        </w:rPr>
      </w:r>
      <w:r/>
    </w:p>
    <w:p>
      <w:pPr>
        <w:rPr>
          <w:rFonts w:ascii="宋体" w:hAnsi="宋体" w:eastAsia="宋体"/>
          <w:color w:val="auto"/>
          <w:szCs w:val="21"/>
          <w:highlight w:val="none"/>
        </w:rPr>
      </w:pPr>
      <w:r>
        <w:rPr>
          <w:rFonts w:hint="eastAsia" w:ascii="宋体" w:hAnsi="宋体" w:eastAsia="宋体"/>
          <w:color w:val="auto"/>
          <w:szCs w:val="21"/>
          <w:highlight w:val="none"/>
        </w:rPr>
        <w:t xml:space="preserve">注：备注中注明哪些为便携式仪器</w:t>
      </w:r>
      <w:r/>
    </w:p>
    <w:p>
      <w:pPr>
        <w:jc w:val="center"/>
        <w:spacing w:line="400" w:lineRule="exact"/>
        <w:rPr>
          <w:rFonts w:ascii="黑体" w:eastAsia="黑体"/>
          <w:b/>
          <w:color w:val="auto"/>
          <w:sz w:val="32"/>
          <w:highlight w:val="none"/>
        </w:rPr>
      </w:pPr>
      <w:r>
        <w:rPr>
          <w:rFonts w:hint="eastAsia" w:eastAsia="宋体"/>
          <w:bCs/>
          <w:color w:val="auto"/>
          <w:sz w:val="24"/>
          <w:highlight w:val="none"/>
        </w:rPr>
        <w:t xml:space="preserve">                 </w:t>
      </w:r>
      <w:r/>
    </w:p>
    <w:p>
      <w:pPr>
        <w:spacing w:line="48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投标供应商（盖章）：</w:t>
      </w:r>
      <w:r/>
    </w:p>
    <w:p>
      <w:pPr>
        <w:rPr>
          <w:rFonts w:hint="eastAsia" w:ascii="黑体" w:hAnsi="宋体" w:eastAsia="黑体"/>
          <w:bCs/>
          <w:color w:val="auto"/>
          <w:sz w:val="24"/>
          <w:szCs w:val="24"/>
          <w:highlight w:val="none"/>
        </w:rPr>
        <w:sectPr>
          <w:footnotePr/>
          <w:endnotePr/>
          <w:type w:val="nextPage"/>
          <w:pgSz w:w="16838" w:h="11906" w:orient="landscape"/>
          <w:pgMar w:top="1080" w:right="1440" w:bottom="1080" w:left="1440" w:header="624" w:footer="907" w:gutter="0"/>
          <w:cols w:num="1" w:sep="0" w:space="1701" w:equalWidth="1"/>
          <w:docGrid w:linePitch="360"/>
        </w:sectPr>
      </w:pPr>
      <w:r>
        <w:rPr>
          <w:rFonts w:hint="eastAsia" w:ascii="宋体" w:hAnsi="宋体" w:eastAsia="宋体"/>
          <w:color w:val="auto"/>
          <w:sz w:val="24"/>
          <w:highlight w:val="none"/>
        </w:rPr>
        <w:t xml:space="preserve">法定代表人或授权代表</w:t>
      </w:r>
      <w:r>
        <w:rPr>
          <w:rFonts w:hint="eastAsia" w:ascii="宋体" w:hAnsi="宋体" w:eastAsia="宋体"/>
          <w:bCs/>
          <w:color w:val="auto"/>
          <w:sz w:val="24"/>
          <w:highlight w:val="none"/>
        </w:rPr>
        <w:t xml:space="preserve">签字或盖章：</w:t>
      </w:r>
      <w:r/>
    </w:p>
    <w:p>
      <w:pPr>
        <w:spacing w:after="156" w:line="313" w:lineRule="atLeast"/>
        <w:rPr>
          <w:rFonts w:ascii="黑体" w:hAnsi="宋体" w:eastAsia="黑体"/>
          <w:bCs/>
          <w:color w:val="auto"/>
          <w:sz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九</w:t>
      </w:r>
      <w:r>
        <w:rPr>
          <w:rFonts w:hint="eastAsia" w:ascii="黑体" w:hAnsi="宋体" w:eastAsia="黑体"/>
          <w:bCs/>
          <w:color w:val="auto"/>
          <w:sz w:val="24"/>
          <w:szCs w:val="24"/>
          <w:highlight w:val="none"/>
        </w:rPr>
        <w:t xml:space="preserve">）</w:t>
      </w:r>
      <w:r>
        <w:rPr>
          <w:rFonts w:hint="eastAsia" w:ascii="黑体" w:hAnsi="宋体" w:eastAsia="黑体"/>
          <w:bCs/>
          <w:color w:val="auto"/>
          <w:sz w:val="24"/>
          <w:highlight w:val="none"/>
        </w:rPr>
        <w:t xml:space="preserve">实验室基本情况（格式）</w:t>
      </w:r>
      <w:r/>
    </w:p>
    <w:tbl>
      <w:tblPr>
        <w:tblStyle w:val="704"/>
        <w:tblW w:w="0" w:type="auto"/>
        <w:jc w:val="center"/>
        <w:tblLayout w:type="fixed"/>
        <w:tblCellMar>
          <w:left w:w="0" w:type="dxa"/>
          <w:top w:w="0" w:type="dxa"/>
          <w:right w:w="0" w:type="dxa"/>
          <w:bottom w:w="0" w:type="dxa"/>
        </w:tblCellMar>
        <w:tblLook w:val="04A0" w:firstRow="1" w:lastRow="0" w:firstColumn="1" w:lastColumn="0" w:noHBand="0" w:noVBand="1"/>
      </w:tblPr>
      <w:tblGrid>
        <w:gridCol w:w="1956"/>
        <w:gridCol w:w="1762"/>
        <w:gridCol w:w="1040"/>
        <w:gridCol w:w="78"/>
        <w:gridCol w:w="206"/>
        <w:gridCol w:w="438"/>
        <w:gridCol w:w="979"/>
        <w:gridCol w:w="992"/>
        <w:gridCol w:w="1553"/>
      </w:tblGrid>
      <w:tr>
        <w:trPr>
          <w:cantSplit/>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4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420"/>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tc>
      </w:tr>
      <w:tr>
        <w:trPr>
          <w:cantSplit/>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280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4"/>
            <w:tcBorders>
              <w:top w:val="single" w:color="000000" w:sz="8" w:space="0"/>
              <w:left w:val="single" w:color="auto" w:sz="4" w:space="0"/>
              <w:bottom w:val="single" w:color="000000" w:sz="8" w:space="0"/>
              <w:right w:val="single" w:color="auto" w:sz="4" w:space="0"/>
            </w:tcBorders>
            <w:tcW w:w="170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Borders>
              <w:top w:val="single" w:color="000000" w:sz="8" w:space="0"/>
              <w:left w:val="single" w:color="auto" w:sz="4" w:space="0"/>
              <w:bottom w:val="single" w:color="000000" w:sz="8" w:space="0"/>
              <w:right w:val="single" w:color="000000" w:sz="8" w:space="0"/>
            </w:tcBorders>
            <w:tcW w:w="254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280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4"/>
            <w:tcBorders>
              <w:top w:val="single" w:color="000000" w:sz="8" w:space="0"/>
              <w:left w:val="single" w:color="auto" w:sz="4" w:space="0"/>
              <w:bottom w:val="single" w:color="000000" w:sz="8" w:space="0"/>
              <w:right w:val="single" w:color="auto" w:sz="4" w:space="0"/>
            </w:tcBorders>
            <w:tcW w:w="170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E-mail</w:t>
            </w:r>
            <w:r/>
          </w:p>
        </w:tc>
        <w:tc>
          <w:tcPr>
            <w:gridSpan w:val="2"/>
            <w:tcBorders>
              <w:top w:val="single" w:color="000000" w:sz="8" w:space="0"/>
              <w:left w:val="single" w:color="auto" w:sz="4" w:space="0"/>
              <w:bottom w:val="single" w:color="000000" w:sz="8" w:space="0"/>
              <w:right w:val="single" w:color="000000" w:sz="8" w:space="0"/>
            </w:tcBorders>
            <w:tcW w:w="254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所在地区</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市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区</w:t>
            </w:r>
            <w:r>
              <w:rPr>
                <w:rFonts w:hint="eastAsia" w:ascii="宋体" w:hAnsi="宋体" w:eastAsia="宋体" w:cs="宋体"/>
                <w:color w:val="auto"/>
                <w:sz w:val="24"/>
                <w:highlight w:val="none"/>
                <w:lang w:eastAsia="zh-CN"/>
              </w:rPr>
              <w:t xml:space="preserve">）</w:t>
            </w:r>
            <w:r/>
          </w:p>
        </w:tc>
      </w:tr>
      <w:tr>
        <w:trPr>
          <w:cantSplit/>
          <w:jc w:val="cente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资质情况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8" w:type="dxa"/>
            <w:vAlign w:val="center"/>
            <w:textDirection w:val="lrTb"/>
            <w:noWrap w:val="false"/>
          </w:tcPr>
          <w:p>
            <w:pPr>
              <w:spacing w:before="156"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通过认可或认证的证书号和证书颁发机构：</w:t>
            </w:r>
            <w:r/>
          </w:p>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4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56" w:type="dxa"/>
            <w:vAlign w:val="center"/>
            <w:textDirection w:val="lrTb"/>
            <w:noWrap w:val="false"/>
          </w:tcPr>
          <w:p>
            <w:pPr>
              <w:ind w:firstLine="442"/>
              <w:jc w:val="center"/>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主要业务内容</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4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top w:val="none" w:color="000000" w:sz="4" w:space="0"/>
              <w:left w:val="single" w:color="000000" w:sz="8" w:space="0"/>
              <w:right w:val="single" w:color="000000" w:sz="8" w:space="0"/>
            </w:tcBorders>
            <w:tcMar>
              <w:left w:w="28" w:type="dxa"/>
              <w:top w:w="0" w:type="dxa"/>
              <w:right w:w="28" w:type="dxa"/>
              <w:bottom w:w="0" w:type="dxa"/>
            </w:tcMar>
            <w:tcW w:w="1956"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设施设备情况</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实验室面积（平方米）</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left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仪器设备（台/套）</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624"/>
        </w:trPr>
        <w:tc>
          <w:tcPr>
            <w:tcBorders>
              <w:left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检测设备资产原值（万元）</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left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5万元以上设备（台/套）</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left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近三年设备投入情况</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left w:val="single" w:color="000000" w:sz="8" w:space="0"/>
              <w:bottom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b/>
                <w:color w:val="auto"/>
                <w:sz w:val="24"/>
                <w:highlight w:val="none"/>
              </w:rPr>
            </w:pPr>
            <w:r>
              <w:rPr>
                <w:rFonts w:hint="eastAsia" w:ascii="宋体" w:hAnsi="宋体" w:eastAsia="宋体" w:cs="宋体"/>
                <w:color w:val="auto"/>
                <w:sz w:val="24"/>
                <w:highlight w:val="none"/>
              </w:rPr>
              <w:t xml:space="preserve">监测车辆（辆）</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56"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人力资源情况</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62"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职工总数（人）</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62"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71"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技术人员数（人）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3"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624"/>
        </w:trPr>
        <w:tc>
          <w:tcPr>
            <w:tcBorders>
              <w:top w:val="none" w:color="000000" w:sz="4" w:space="0"/>
              <w:left w:val="single" w:color="000000" w:sz="8" w:space="0"/>
              <w:bottom w:val="single" w:color="auto" w:sz="4"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4"/>
            <w:tcBorders>
              <w:top w:val="none" w:color="000000" w:sz="4" w:space="0"/>
              <w:left w:val="none" w:color="000000" w:sz="4" w:space="0"/>
              <w:bottom w:val="single" w:color="auto" w:sz="4" w:space="0"/>
              <w:right w:val="single" w:color="000000" w:sz="8" w:space="0"/>
            </w:tcBorders>
            <w:tcMar>
              <w:left w:w="28" w:type="dxa"/>
              <w:top w:w="0" w:type="dxa"/>
              <w:right w:w="28" w:type="dxa"/>
              <w:bottom w:w="0" w:type="dxa"/>
            </w:tcMar>
            <w:tcW w:w="3086"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pacing w:val="-10"/>
                <w:sz w:val="24"/>
                <w:highlight w:val="none"/>
              </w:rPr>
              <w:t xml:space="preserve">本科及以上学历人员数（人）</w:t>
            </w:r>
            <w:r/>
          </w:p>
        </w:tc>
        <w:tc>
          <w:tcPr>
            <w:gridSpan w:val="4"/>
            <w:tcBorders>
              <w:top w:val="none" w:color="000000" w:sz="4" w:space="0"/>
              <w:left w:val="none" w:color="000000" w:sz="4" w:space="0"/>
              <w:bottom w:val="single" w:color="auto" w:sz="4" w:space="0"/>
              <w:right w:val="single" w:color="000000" w:sz="8" w:space="0"/>
            </w:tcBorders>
            <w:tcMar>
              <w:left w:w="28" w:type="dxa"/>
              <w:top w:w="0" w:type="dxa"/>
              <w:right w:w="28" w:type="dxa"/>
              <w:bottom w:w="0" w:type="dxa"/>
            </w:tcMar>
            <w:tcW w:w="396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1082"/>
        </w:trPr>
        <w:tc>
          <w:tcPr>
            <w:tcBorders>
              <w:top w:val="single" w:color="auto" w:sz="4" w:space="0"/>
              <w:left w:val="single" w:color="000000" w:sz="8" w:space="0"/>
              <w:bottom w:val="single" w:color="000000" w:sz="8" w:space="0"/>
              <w:right w:val="single" w:color="000000" w:sz="8" w:space="0"/>
            </w:tcBorders>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近三年主要能力</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拓展情况</w:t>
            </w:r>
            <w:r/>
          </w:p>
        </w:tc>
        <w:tc>
          <w:tcPr>
            <w:gridSpan w:val="8"/>
            <w:tcBorders>
              <w:top w:val="single" w:color="auto" w:sz="4" w:space="0"/>
              <w:left w:val="none" w:color="000000" w:sz="4" w:space="0"/>
              <w:bottom w:val="single" w:color="000000" w:sz="8" w:space="0"/>
              <w:right w:val="single" w:color="000000" w:sz="8" w:space="0"/>
            </w:tcBorders>
            <w:tcMar>
              <w:left w:w="28" w:type="dxa"/>
              <w:top w:w="0" w:type="dxa"/>
              <w:right w:w="28" w:type="dxa"/>
              <w:bottom w:w="0" w:type="dxa"/>
            </w:tcMar>
            <w:tcW w:w="704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bl>
    <w:p>
      <w:pPr>
        <w:spacing w:line="48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spacing w:line="48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投标供应商（盖章）：</w:t>
      </w:r>
      <w:r/>
    </w:p>
    <w:p>
      <w:pPr>
        <w:rPr>
          <w:rFonts w:ascii="宋体" w:hAnsi="宋体" w:eastAsia="宋体"/>
          <w:bCs/>
          <w:color w:val="auto"/>
          <w:sz w:val="24"/>
          <w:highlight w:val="none"/>
        </w:rPr>
      </w:pPr>
      <w:r>
        <w:rPr>
          <w:rFonts w:hint="eastAsia" w:ascii="宋体" w:hAnsi="宋体" w:eastAsia="宋体"/>
          <w:color w:val="auto"/>
          <w:sz w:val="24"/>
          <w:highlight w:val="none"/>
        </w:rPr>
        <w:t xml:space="preserve">法定代表人或授权代表</w:t>
      </w:r>
      <w:r>
        <w:rPr>
          <w:rFonts w:hint="eastAsia" w:ascii="宋体" w:hAnsi="宋体" w:eastAsia="宋体"/>
          <w:bCs/>
          <w:color w:val="auto"/>
          <w:sz w:val="24"/>
          <w:highlight w:val="none"/>
        </w:rPr>
        <w:t xml:space="preserve">签字或盖章：</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hint="eastAsia" w:ascii="黑体" w:hAnsi="宋体" w:eastAsia="黑体"/>
          <w:bCs/>
          <w:color w:val="auto"/>
          <w:sz w:val="24"/>
          <w:szCs w:val="24"/>
          <w:highlight w:val="none"/>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黑体" w:hAnsi="宋体" w:eastAsia="黑体"/>
          <w:bCs/>
          <w:color w:val="auto"/>
          <w:sz w:val="24"/>
          <w:szCs w:val="24"/>
          <w:highlight w:val="none"/>
        </w:rPr>
      </w:r>
      <w:r/>
    </w:p>
    <w:p>
      <w:pPr>
        <w:ind w:left="720" w:hanging="720"/>
        <w:jc w:val="left"/>
        <w:spacing w:line="400" w:lineRule="exact"/>
        <w:rPr>
          <w:rFonts w:ascii="黑体" w:hAnsi="宋体" w:eastAsia="黑体"/>
          <w:bCs/>
          <w:color w:val="auto"/>
          <w:sz w:val="24"/>
          <w:highlight w:val="none"/>
        </w:rPr>
      </w:pPr>
      <w:r>
        <w:rPr>
          <w:rFonts w:hint="eastAsia" w:ascii="黑体" w:hAnsi="宋体" w:eastAsia="黑体"/>
          <w:bCs/>
          <w:color w:val="auto"/>
          <w:sz w:val="24"/>
          <w:highlight w:val="none"/>
        </w:rPr>
        <w:t xml:space="preserve">（</w:t>
      </w:r>
      <w:r>
        <w:rPr>
          <w:rFonts w:hint="eastAsia" w:ascii="黑体" w:hAnsi="宋体" w:eastAsia="黑体"/>
          <w:bCs/>
          <w:color w:val="auto"/>
          <w:sz w:val="24"/>
          <w:highlight w:val="none"/>
          <w:lang w:val="en-US" w:eastAsia="zh-CN"/>
        </w:rPr>
        <w:t xml:space="preserve">十</w:t>
      </w:r>
      <w:r>
        <w:rPr>
          <w:rFonts w:hint="eastAsia" w:ascii="黑体" w:hAnsi="宋体" w:eastAsia="黑体"/>
          <w:bCs/>
          <w:color w:val="auto"/>
          <w:sz w:val="24"/>
          <w:highlight w:val="none"/>
        </w:rPr>
        <w:t xml:space="preserve">）项目组人员配备计划表（格式）</w:t>
      </w:r>
      <w:r/>
    </w:p>
    <w:p>
      <w:pPr>
        <w:ind w:left="720" w:hanging="720"/>
        <w:jc w:val="center"/>
        <w:spacing w:line="40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项目组人员配备计划表</w:t>
      </w:r>
      <w:r/>
    </w:p>
    <w:p>
      <w:pPr>
        <w:rPr>
          <w:rFonts w:eastAsia="宋体"/>
          <w:bCs/>
          <w:color w:val="auto"/>
          <w:highlight w:val="none"/>
        </w:rPr>
      </w:pPr>
      <w:r>
        <w:rPr>
          <w:rFonts w:eastAsia="宋体"/>
          <w:bCs/>
          <w:color w:val="auto"/>
          <w:highlight w:val="none"/>
        </w:rPr>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523"/>
        <w:gridCol w:w="1418"/>
        <w:gridCol w:w="1595"/>
        <w:gridCol w:w="1276"/>
        <w:gridCol w:w="1386"/>
        <w:gridCol w:w="1449"/>
        <w:gridCol w:w="991"/>
      </w:tblGrid>
      <w:tr>
        <w:trPr>
          <w:jc w:val="center"/>
          <w:trHeight w:val="680"/>
        </w:trPr>
        <w:tc>
          <w:tcPr>
            <w:tcW w:w="817"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序号</w:t>
            </w:r>
            <w:r/>
          </w:p>
        </w:tc>
        <w:tc>
          <w:tcPr>
            <w:tcW w:w="1134"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姓</w:t>
            </w:r>
            <w:r>
              <w:rPr>
                <w:rFonts w:ascii="宋体" w:eastAsia="宋体"/>
                <w:color w:val="auto"/>
                <w:highlight w:val="none"/>
              </w:rPr>
              <w:t xml:space="preserve"> </w:t>
            </w:r>
            <w:r>
              <w:rPr>
                <w:rFonts w:hint="eastAsia" w:ascii="宋体" w:eastAsia="宋体"/>
                <w:color w:val="auto"/>
                <w:highlight w:val="none"/>
              </w:rPr>
              <w:t xml:space="preserve">名</w:t>
            </w:r>
            <w:r/>
          </w:p>
        </w:tc>
        <w:tc>
          <w:tcPr>
            <w:tcW w:w="709"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性别</w:t>
            </w:r>
            <w:r/>
          </w:p>
        </w:tc>
        <w:tc>
          <w:tcPr>
            <w:tcW w:w="709"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年龄</w:t>
            </w:r>
            <w:r/>
          </w:p>
        </w:tc>
        <w:tc>
          <w:tcPr>
            <w:tcW w:w="1276"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文化程度</w:t>
            </w:r>
            <w:r/>
          </w:p>
        </w:tc>
        <w:tc>
          <w:tcPr>
            <w:tcW w:w="1523"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职称</w:t>
            </w:r>
            <w:r/>
          </w:p>
        </w:tc>
        <w:tc>
          <w:tcPr>
            <w:tcW w:w="1418"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所学专业</w:t>
            </w:r>
            <w:r/>
          </w:p>
        </w:tc>
        <w:tc>
          <w:tcPr>
            <w:tcW w:w="1595"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从事本技术</w:t>
            </w:r>
            <w:r/>
          </w:p>
          <w:p>
            <w:pPr>
              <w:jc w:val="center"/>
              <w:rPr>
                <w:rFonts w:ascii="宋体" w:eastAsia="宋体"/>
                <w:color w:val="auto"/>
                <w:highlight w:val="none"/>
              </w:rPr>
            </w:pPr>
            <w:r>
              <w:rPr>
                <w:rFonts w:hint="eastAsia" w:ascii="宋体" w:eastAsia="宋体"/>
                <w:color w:val="auto"/>
                <w:highlight w:val="none"/>
              </w:rPr>
              <w:t xml:space="preserve">领域年限</w:t>
            </w:r>
            <w:r/>
          </w:p>
        </w:tc>
        <w:tc>
          <w:tcPr>
            <w:tcW w:w="1276"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所属部门</w:t>
            </w:r>
            <w:r/>
          </w:p>
        </w:tc>
        <w:tc>
          <w:tcPr>
            <w:tcW w:w="1386"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岗位（实验室、现场采样等）</w:t>
            </w:r>
            <w:r/>
          </w:p>
        </w:tc>
        <w:tc>
          <w:tcPr>
            <w:tcW w:w="1449"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本单位年限</w:t>
            </w:r>
            <w:r/>
          </w:p>
        </w:tc>
        <w:tc>
          <w:tcPr>
            <w:tcW w:w="991"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备注</w:t>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bl>
    <w:p>
      <w:pPr>
        <w:jc w:val="both"/>
        <w:spacing w:before="156" w:line="360" w:lineRule="auto"/>
        <w:widowControl w:val="off"/>
        <w:rPr>
          <w:rFonts w:hint="default" w:ascii="黑体" w:hAnsi="Times New Roman" w:eastAsia="黑体" w:cs="Times New Roman"/>
          <w:b/>
          <w:bCs/>
          <w:color w:val="auto"/>
          <w:sz w:val="32"/>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注：备注栏内填写：劳动（合同）关系性质。</w:t>
      </w:r>
      <w:r>
        <w:rPr>
          <w:rFonts w:hint="eastAsia" w:ascii="华文中宋" w:hAnsi="Times New Roman" w:eastAsia="华文中宋" w:cs="Times New Roman"/>
          <w:bCs w:val="0"/>
          <w:color w:val="auto"/>
          <w:sz w:val="24"/>
          <w:highlight w:val="none"/>
          <w:lang w:val="en-US" w:eastAsia="zh-CN" w:bidi="ar-SA"/>
        </w:rPr>
        <w:t xml:space="preserve">                </w:t>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spacing w:line="48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投标供应商（盖章）：</w:t>
      </w:r>
      <w:r/>
    </w:p>
    <w:p>
      <w:pPr>
        <w:rPr>
          <w:rFonts w:hint="eastAsia" w:ascii="黑体" w:hAnsi="宋体" w:eastAsia="黑体"/>
          <w:bCs/>
          <w:color w:val="auto"/>
          <w:sz w:val="24"/>
          <w:szCs w:val="24"/>
          <w:highlight w:val="none"/>
        </w:rPr>
        <w:sectPr>
          <w:footnotePr/>
          <w:endnotePr/>
          <w:type w:val="nextPage"/>
          <w:pgSz w:w="16838" w:h="11906" w:orient="landscape"/>
          <w:pgMar w:top="1080" w:right="1440" w:bottom="1080" w:left="1440" w:header="624" w:footer="907" w:gutter="0"/>
          <w:cols w:num="1" w:sep="0" w:space="1701" w:equalWidth="1"/>
          <w:docGrid w:linePitch="360"/>
        </w:sectPr>
      </w:pPr>
      <w:r>
        <w:rPr>
          <w:rFonts w:hint="eastAsia" w:ascii="宋体" w:hAnsi="宋体" w:eastAsia="宋体"/>
          <w:color w:val="auto"/>
          <w:sz w:val="24"/>
          <w:highlight w:val="none"/>
        </w:rPr>
        <w:t xml:space="preserve">法定代表人或授权代表</w:t>
      </w:r>
      <w:r>
        <w:rPr>
          <w:rFonts w:hint="eastAsia" w:ascii="宋体" w:hAnsi="宋体" w:eastAsia="宋体"/>
          <w:bCs/>
          <w:color w:val="auto"/>
          <w:sz w:val="24"/>
          <w:highlight w:val="none"/>
        </w:rPr>
        <w:t xml:space="preserve">签字或盖章：</w:t>
      </w:r>
      <w:r/>
    </w:p>
    <w:p>
      <w:pPr>
        <w:spacing w:after="156" w:line="313" w:lineRule="atLeast"/>
        <w:rPr>
          <w:rFonts w:ascii="黑体" w:hAnsi="宋体" w:eastAsia="黑体"/>
          <w:bCs/>
          <w:color w:val="auto"/>
          <w:sz w:val="24"/>
          <w:highlight w:val="none"/>
        </w:rPr>
      </w:pPr>
      <w:r>
        <w:rPr>
          <w:rFonts w:hint="eastAsia" w:ascii="黑体" w:hAnsi="宋体" w:eastAsia="黑体"/>
          <w:bCs/>
          <w:color w:val="auto"/>
          <w:sz w:val="24"/>
          <w:highlight w:val="none"/>
        </w:rPr>
        <w:t xml:space="preserve">（十</w:t>
      </w:r>
      <w:r>
        <w:rPr>
          <w:rFonts w:hint="eastAsia" w:ascii="黑体" w:hAnsi="宋体" w:eastAsia="黑体"/>
          <w:bCs/>
          <w:color w:val="auto"/>
          <w:sz w:val="24"/>
          <w:highlight w:val="none"/>
          <w:lang w:val="en-US" w:eastAsia="zh-CN"/>
        </w:rPr>
        <w:t xml:space="preserve">一</w:t>
      </w:r>
      <w:r>
        <w:rPr>
          <w:rFonts w:hint="eastAsia" w:ascii="黑体" w:hAnsi="宋体" w:eastAsia="黑体"/>
          <w:bCs/>
          <w:color w:val="auto"/>
          <w:sz w:val="24"/>
          <w:highlight w:val="none"/>
        </w:rPr>
        <w:t xml:space="preserve">）关键岗位人员情况表（格式）</w:t>
      </w:r>
      <w:r/>
    </w:p>
    <w:p>
      <w:pPr>
        <w:spacing w:line="360" w:lineRule="auto"/>
        <w:tabs>
          <w:tab w:val="left" w:pos="525" w:leader="none"/>
          <w:tab w:val="left" w:pos="840" w:leader="none"/>
        </w:tabs>
        <w:rPr>
          <w:rFonts w:ascii="黑体" w:eastAsia="黑体"/>
          <w:color w:val="auto"/>
          <w:sz w:val="24"/>
          <w:szCs w:val="24"/>
          <w:highlight w:val="none"/>
        </w:rPr>
      </w:pPr>
      <w:r>
        <w:rPr>
          <w:rFonts w:hint="eastAsia" w:eastAsia="宋体"/>
          <w:color w:val="auto"/>
          <w:sz w:val="24"/>
          <w:szCs w:val="24"/>
          <w:highlight w:val="none"/>
        </w:rPr>
        <w:t xml:space="preserve">实验室名称：</w:t>
      </w:r>
      <w:r>
        <w:rPr>
          <w:rFonts w:eastAsia="宋体"/>
          <w:color w:val="auto"/>
          <w:sz w:val="24"/>
          <w:szCs w:val="24"/>
          <w:highlight w:val="none"/>
          <w:u w:val="single"/>
        </w:rPr>
        <w:t xml:space="preserve">                                    </w:t>
      </w:r>
      <w:r>
        <w:rPr>
          <w:rFonts w:eastAsia="宋体"/>
          <w:bCs/>
          <w:color w:val="auto"/>
          <w:sz w:val="24"/>
          <w:szCs w:val="24"/>
          <w:highlight w:val="none"/>
        </w:rPr>
        <w:t xml:space="preserve">    </w:t>
      </w:r>
      <w:r/>
    </w:p>
    <w:tbl>
      <w:tblPr>
        <w:tblStyle w:val="7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1"/>
        <w:gridCol w:w="1420"/>
        <w:gridCol w:w="1420"/>
        <w:gridCol w:w="1421"/>
      </w:tblGrid>
      <w:tr>
        <w:trPr>
          <w:trHeight w:val="567"/>
        </w:trPr>
        <w:tc>
          <w:tcPr>
            <w:tcW w:w="1420" w:type="dxa"/>
            <w:vAlign w:val="center"/>
            <w:textDirection w:val="lrTb"/>
            <w:noWrap w:val="false"/>
          </w:tcPr>
          <w:p>
            <w:pPr>
              <w:rPr>
                <w:rFonts w:eastAsia="宋体"/>
                <w:color w:val="auto"/>
                <w:sz w:val="24"/>
                <w:szCs w:val="24"/>
                <w:highlight w:val="none"/>
              </w:rPr>
            </w:pPr>
            <w:r>
              <w:rPr>
                <w:rFonts w:hint="eastAsia" w:ascii="宋体" w:eastAsia="宋体"/>
                <w:color w:val="auto"/>
                <w:sz w:val="24"/>
                <w:szCs w:val="24"/>
                <w:highlight w:val="none"/>
              </w:rPr>
              <w:t xml:space="preserve">姓    名</w:t>
            </w:r>
            <w:r/>
          </w:p>
        </w:tc>
        <w:tc>
          <w:tcPr>
            <w:tcW w:w="14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21" w:type="dxa"/>
            <w:vAlign w:val="center"/>
            <w:textDirection w:val="lrTb"/>
            <w:noWrap w:val="false"/>
          </w:tcPr>
          <w:p>
            <w:pPr>
              <w:rPr>
                <w:rFonts w:eastAsia="宋体"/>
                <w:color w:val="auto"/>
                <w:sz w:val="24"/>
                <w:szCs w:val="24"/>
                <w:highlight w:val="none"/>
              </w:rPr>
            </w:pPr>
            <w:r>
              <w:rPr>
                <w:rFonts w:hint="eastAsia" w:ascii="宋体" w:eastAsia="宋体"/>
                <w:color w:val="auto"/>
                <w:sz w:val="24"/>
                <w:szCs w:val="24"/>
                <w:highlight w:val="none"/>
              </w:rPr>
              <w:t xml:space="preserve">性    别</w:t>
            </w:r>
            <w:r/>
          </w:p>
        </w:tc>
        <w:tc>
          <w:tcPr>
            <w:tcW w:w="14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20" w:type="dxa"/>
            <w:vAlign w:val="center"/>
            <w:textDirection w:val="lrTb"/>
            <w:noWrap w:val="false"/>
          </w:tcPr>
          <w:p>
            <w:pPr>
              <w:rPr>
                <w:rFonts w:eastAsia="宋体"/>
                <w:color w:val="auto"/>
                <w:sz w:val="24"/>
                <w:szCs w:val="24"/>
                <w:highlight w:val="none"/>
              </w:rPr>
            </w:pPr>
            <w:r>
              <w:rPr>
                <w:rFonts w:hint="eastAsia" w:ascii="宋体" w:eastAsia="宋体"/>
                <w:color w:val="auto"/>
                <w:sz w:val="24"/>
                <w:szCs w:val="24"/>
                <w:highlight w:val="none"/>
              </w:rPr>
              <w:t xml:space="preserve">出生年月</w:t>
            </w:r>
            <w:r/>
          </w:p>
        </w:tc>
        <w:tc>
          <w:tcPr>
            <w:tcW w:w="142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trHeight w:val="567"/>
        </w:trPr>
        <w:tc>
          <w:tcPr>
            <w:tcW w:w="1420" w:type="dxa"/>
            <w:vAlign w:val="center"/>
            <w:textDirection w:val="lrTb"/>
            <w:noWrap w:val="false"/>
          </w:tcPr>
          <w:p>
            <w:pPr>
              <w:rPr>
                <w:rFonts w:ascii="宋体" w:eastAsia="宋体"/>
                <w:color w:val="auto"/>
                <w:sz w:val="24"/>
                <w:szCs w:val="24"/>
                <w:highlight w:val="none"/>
              </w:rPr>
            </w:pPr>
            <w:r>
              <w:rPr>
                <w:rFonts w:hint="eastAsia" w:ascii="宋体" w:eastAsia="宋体"/>
                <w:color w:val="auto"/>
                <w:sz w:val="24"/>
                <w:szCs w:val="24"/>
                <w:highlight w:val="none"/>
              </w:rPr>
              <w:t xml:space="preserve">文化程度</w:t>
            </w:r>
            <w:r/>
          </w:p>
        </w:tc>
        <w:tc>
          <w:tcPr>
            <w:tcW w:w="1420" w:type="dxa"/>
            <w:vAlign w:val="center"/>
            <w:textDirection w:val="lrTb"/>
            <w:noWrap w:val="false"/>
          </w:tcPr>
          <w:p>
            <w:pPr>
              <w:rPr>
                <w:rFonts w:ascii="宋体" w:eastAsia="宋体"/>
                <w:color w:val="auto"/>
                <w:sz w:val="24"/>
                <w:szCs w:val="24"/>
                <w:highlight w:val="none"/>
              </w:rPr>
            </w:pPr>
            <w:r>
              <w:rPr>
                <w:rFonts w:ascii="宋体" w:eastAsia="宋体"/>
                <w:color w:val="auto"/>
                <w:sz w:val="24"/>
                <w:szCs w:val="24"/>
                <w:highlight w:val="none"/>
              </w:rPr>
            </w:r>
            <w:r/>
          </w:p>
        </w:tc>
        <w:tc>
          <w:tcPr>
            <w:tcW w:w="1421" w:type="dxa"/>
            <w:vAlign w:val="center"/>
            <w:textDirection w:val="lrTb"/>
            <w:noWrap w:val="false"/>
          </w:tcPr>
          <w:p>
            <w:pPr>
              <w:rPr>
                <w:rFonts w:ascii="宋体" w:eastAsia="宋体"/>
                <w:color w:val="auto"/>
                <w:sz w:val="24"/>
                <w:szCs w:val="24"/>
                <w:highlight w:val="none"/>
              </w:rPr>
            </w:pPr>
            <w:r>
              <w:rPr>
                <w:rFonts w:hint="eastAsia" w:ascii="宋体" w:eastAsia="宋体"/>
                <w:color w:val="auto"/>
                <w:sz w:val="24"/>
                <w:szCs w:val="24"/>
                <w:highlight w:val="none"/>
              </w:rPr>
              <w:t xml:space="preserve">职    称</w:t>
            </w:r>
            <w:r/>
          </w:p>
        </w:tc>
        <w:tc>
          <w:tcPr>
            <w:tcW w:w="1420" w:type="dxa"/>
            <w:vAlign w:val="center"/>
            <w:textDirection w:val="lrTb"/>
            <w:noWrap w:val="false"/>
          </w:tcPr>
          <w:p>
            <w:pPr>
              <w:rPr>
                <w:rFonts w:ascii="宋体" w:eastAsia="宋体"/>
                <w:color w:val="auto"/>
                <w:sz w:val="24"/>
                <w:szCs w:val="24"/>
                <w:highlight w:val="none"/>
              </w:rPr>
            </w:pPr>
            <w:r>
              <w:rPr>
                <w:rFonts w:ascii="宋体" w:eastAsia="宋体"/>
                <w:color w:val="auto"/>
                <w:sz w:val="24"/>
                <w:szCs w:val="24"/>
                <w:highlight w:val="none"/>
              </w:rPr>
            </w:r>
            <w:r/>
          </w:p>
        </w:tc>
        <w:tc>
          <w:tcPr>
            <w:tcW w:w="1420" w:type="dxa"/>
            <w:vAlign w:val="center"/>
            <w:textDirection w:val="lrTb"/>
            <w:noWrap w:val="false"/>
          </w:tcPr>
          <w:p>
            <w:pPr>
              <w:rPr>
                <w:rFonts w:ascii="宋体" w:eastAsia="宋体"/>
                <w:color w:val="auto"/>
                <w:sz w:val="24"/>
                <w:szCs w:val="24"/>
                <w:highlight w:val="none"/>
              </w:rPr>
            </w:pPr>
            <w:r>
              <w:rPr>
                <w:rFonts w:hint="eastAsia" w:ascii="宋体" w:eastAsia="宋体"/>
                <w:color w:val="auto"/>
                <w:sz w:val="24"/>
                <w:szCs w:val="24"/>
                <w:highlight w:val="none"/>
              </w:rPr>
              <w:t xml:space="preserve">职    务</w:t>
            </w:r>
            <w:r/>
          </w:p>
        </w:tc>
        <w:tc>
          <w:tcPr>
            <w:tcW w:w="1421" w:type="dxa"/>
            <w:vAlign w:val="center"/>
            <w:textDirection w:val="lrTb"/>
            <w:noWrap w:val="false"/>
          </w:tcPr>
          <w:p>
            <w:pPr>
              <w:rPr>
                <w:rFonts w:ascii="宋体" w:eastAsia="宋体"/>
                <w:color w:val="auto"/>
                <w:sz w:val="24"/>
                <w:szCs w:val="24"/>
                <w:highlight w:val="none"/>
              </w:rPr>
            </w:pPr>
            <w:r>
              <w:rPr>
                <w:rFonts w:ascii="宋体" w:eastAsia="宋体"/>
                <w:color w:val="auto"/>
                <w:sz w:val="24"/>
                <w:szCs w:val="24"/>
                <w:highlight w:val="none"/>
              </w:rPr>
            </w:r>
            <w:r/>
          </w:p>
        </w:tc>
      </w:tr>
      <w:tr>
        <w:trPr>
          <w:trHeight w:val="567"/>
        </w:trPr>
        <w:tc>
          <w:tcPr>
            <w:tcW w:w="1420" w:type="dxa"/>
            <w:vAlign w:val="center"/>
            <w:textDirection w:val="lrTb"/>
            <w:noWrap w:val="false"/>
          </w:tcPr>
          <w:p>
            <w:pPr>
              <w:rPr>
                <w:rFonts w:eastAsia="宋体"/>
                <w:color w:val="auto"/>
                <w:sz w:val="24"/>
                <w:szCs w:val="24"/>
                <w:highlight w:val="none"/>
              </w:rPr>
            </w:pPr>
            <w:r>
              <w:rPr>
                <w:rFonts w:hint="eastAsia" w:ascii="宋体" w:eastAsia="宋体"/>
                <w:color w:val="auto"/>
                <w:sz w:val="24"/>
                <w:szCs w:val="24"/>
                <w:highlight w:val="none"/>
              </w:rPr>
              <w:t xml:space="preserve">部    门</w:t>
            </w:r>
            <w:r/>
          </w:p>
        </w:tc>
        <w:tc>
          <w:tcPr>
            <w:gridSpan w:val="2"/>
            <w:tcW w:w="284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20" w:type="dxa"/>
            <w:vAlign w:val="center"/>
            <w:textDirection w:val="lrTb"/>
            <w:noWrap w:val="false"/>
          </w:tcPr>
          <w:p>
            <w:pPr>
              <w:rPr>
                <w:rFonts w:eastAsia="宋体"/>
                <w:color w:val="auto"/>
                <w:sz w:val="24"/>
                <w:szCs w:val="24"/>
                <w:highlight w:val="none"/>
              </w:rPr>
            </w:pPr>
            <w:r>
              <w:rPr>
                <w:rFonts w:hint="eastAsia" w:eastAsia="宋体"/>
                <w:color w:val="auto"/>
                <w:sz w:val="24"/>
                <w:szCs w:val="24"/>
                <w:highlight w:val="none"/>
              </w:rPr>
              <w:t xml:space="preserve">岗        位</w:t>
            </w:r>
            <w:r/>
          </w:p>
        </w:tc>
        <w:tc>
          <w:tcPr>
            <w:gridSpan w:val="2"/>
            <w:tcW w:w="284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trHeight w:val="1249"/>
        </w:trPr>
        <w:tc>
          <w:tcPr>
            <w:gridSpan w:val="6"/>
            <w:tcW w:w="8522" w:type="dxa"/>
            <w:textDirection w:val="lrTb"/>
            <w:noWrap w:val="false"/>
          </w:tcPr>
          <w:p>
            <w:pPr>
              <w:spacing w:before="156"/>
              <w:rPr>
                <w:rFonts w:ascii="宋体" w:eastAsia="宋体"/>
                <w:color w:val="auto"/>
                <w:sz w:val="24"/>
                <w:szCs w:val="24"/>
                <w:highlight w:val="none"/>
              </w:rPr>
            </w:pPr>
            <w:r>
              <w:rPr>
                <w:rFonts w:hint="eastAsia" w:ascii="宋体" w:eastAsia="宋体"/>
                <w:color w:val="auto"/>
                <w:sz w:val="24"/>
                <w:szCs w:val="24"/>
                <w:highlight w:val="none"/>
              </w:rPr>
              <w:t xml:space="preserve">申请签字的领域：</w:t>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tc>
      </w:tr>
      <w:tr>
        <w:trPr/>
        <w:tc>
          <w:tcPr>
            <w:gridSpan w:val="6"/>
            <w:tcW w:w="8522" w:type="dxa"/>
            <w:textDirection w:val="lrTb"/>
            <w:noWrap w:val="false"/>
          </w:tcPr>
          <w:p>
            <w:pPr>
              <w:spacing w:before="156"/>
              <w:rPr>
                <w:rFonts w:ascii="宋体" w:eastAsia="宋体"/>
                <w:color w:val="auto"/>
                <w:sz w:val="24"/>
                <w:szCs w:val="24"/>
                <w:highlight w:val="none"/>
              </w:rPr>
            </w:pPr>
            <w:r>
              <w:rPr>
                <w:rFonts w:hint="eastAsia" w:ascii="宋体" w:eastAsia="宋体"/>
                <w:color w:val="auto"/>
                <w:sz w:val="24"/>
                <w:szCs w:val="24"/>
                <w:highlight w:val="none"/>
              </w:rPr>
              <w:t xml:space="preserve">何年毕业于何院校、何专业、受过何种培训：</w:t>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tc>
      </w:tr>
      <w:tr>
        <w:trPr>
          <w:trHeight w:val="3402"/>
        </w:trPr>
        <w:tc>
          <w:tcPr>
            <w:gridSpan w:val="6"/>
            <w:tcW w:w="8522" w:type="dxa"/>
            <w:textDirection w:val="lrTb"/>
            <w:noWrap w:val="false"/>
          </w:tcPr>
          <w:p>
            <w:pPr>
              <w:spacing w:before="156"/>
              <w:rPr>
                <w:rFonts w:ascii="宋体" w:eastAsia="宋体"/>
                <w:color w:val="auto"/>
                <w:sz w:val="24"/>
                <w:szCs w:val="24"/>
                <w:highlight w:val="none"/>
              </w:rPr>
            </w:pPr>
            <w:r>
              <w:rPr>
                <w:rFonts w:hint="eastAsia" w:ascii="宋体" w:eastAsia="宋体"/>
                <w:color w:val="auto"/>
                <w:sz w:val="24"/>
                <w:szCs w:val="24"/>
                <w:highlight w:val="none"/>
              </w:rPr>
              <w:t xml:space="preserve">工作经历及从事实验室工作的经历：</w:t>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tc>
      </w:tr>
      <w:tr>
        <w:trPr/>
        <w:tc>
          <w:tcPr>
            <w:gridSpan w:val="6"/>
            <w:tcW w:w="8522" w:type="dxa"/>
            <w:textDirection w:val="lrTb"/>
            <w:noWrap w:val="false"/>
          </w:tcPr>
          <w:p>
            <w:pPr>
              <w:spacing w:before="156"/>
              <w:rPr>
                <w:rFonts w:ascii="宋体" w:eastAsia="宋体"/>
                <w:color w:val="auto"/>
                <w:sz w:val="24"/>
                <w:szCs w:val="24"/>
                <w:highlight w:val="none"/>
              </w:rPr>
            </w:pPr>
            <w:r>
              <w:rPr>
                <w:rFonts w:hint="eastAsia" w:ascii="宋体" w:eastAsia="宋体"/>
                <w:color w:val="auto"/>
                <w:sz w:val="24"/>
                <w:szCs w:val="24"/>
                <w:highlight w:val="none"/>
              </w:rPr>
              <w:t xml:space="preserve">相关说明（若授权领域有变更应予以说明）：</w:t>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tc>
      </w:tr>
    </w:tbl>
    <w:p>
      <w:pPr>
        <w:jc w:val="left"/>
        <w:spacing w:line="480" w:lineRule="auto"/>
        <w:rPr>
          <w:rFonts w:ascii="宋体" w:hAnsi="宋体"/>
          <w:color w:val="auto"/>
          <w:sz w:val="24"/>
          <w:szCs w:val="24"/>
          <w:highlight w:val="none"/>
        </w:rPr>
      </w:pPr>
      <w:r>
        <w:rPr>
          <w:rFonts w:hint="eastAsia" w:eastAsia="宋体"/>
          <w:color w:val="auto"/>
          <w:szCs w:val="21"/>
          <w:highlight w:val="none"/>
        </w:rPr>
        <w:t xml:space="preserve">注：</w:t>
      </w:r>
      <w:r>
        <w:rPr>
          <w:rFonts w:hint="eastAsia" w:eastAsia="宋体"/>
          <w:color w:val="auto"/>
          <w:szCs w:val="21"/>
          <w:highlight w:val="none"/>
          <w:lang w:val="en-US" w:eastAsia="zh-CN"/>
        </w:rPr>
        <w:t xml:space="preserve">项目负责人、</w:t>
      </w:r>
      <w:r>
        <w:rPr>
          <w:rFonts w:hint="eastAsia" w:eastAsia="宋体"/>
          <w:color w:val="auto"/>
          <w:szCs w:val="21"/>
          <w:highlight w:val="none"/>
        </w:rPr>
        <w:t xml:space="preserve">技术负责人、质量负责人每人填写一张。</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十二</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JSZC-320214-JSZH-G2026-0039</w:t>
      </w:r>
      <w:r/>
    </w:p>
    <w:tbl>
      <w:tblPr>
        <w:tblStyle w:val="704"/>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color w:val="auto"/>
          <w:sz w:val="24"/>
          <w:szCs w:val="24"/>
          <w:highlight w:val="none"/>
        </w:rPr>
        <w:t xml:space="preserve">（十三）中标标段优先顺序承诺函（格式）</w:t>
      </w:r>
      <w:r/>
    </w:p>
    <w:p>
      <w:pPr>
        <w:jc w:val="cente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中标标段优先顺序承诺函</w:t>
      </w:r>
      <w:r/>
    </w:p>
    <w:p>
      <w:pPr>
        <w:rPr>
          <w:rFonts w:ascii="宋体" w:hAnsi="宋体" w:eastAsia="宋体"/>
          <w:color w:val="auto"/>
          <w:sz w:val="24"/>
          <w:highlight w:val="none"/>
        </w:rPr>
      </w:pPr>
      <w:r>
        <w:rPr>
          <w:rFonts w:ascii="宋体" w:hAnsi="宋体" w:eastAsia="宋体"/>
          <w:color w:val="auto"/>
          <w:sz w:val="24"/>
          <w:highlight w:val="none"/>
        </w:rPr>
      </w:r>
      <w:r/>
    </w:p>
    <w:p>
      <w:pPr>
        <w:rPr>
          <w:rFonts w:ascii="宋体" w:hAnsi="宋体" w:eastAsia="宋体"/>
          <w:b/>
          <w:bCs/>
          <w:color w:val="auto"/>
          <w:sz w:val="24"/>
          <w:highlight w:val="none"/>
          <w:u w:val="single"/>
        </w:rPr>
      </w:pPr>
      <w:r>
        <w:rPr>
          <w:rFonts w:hint="eastAsia" w:ascii="宋体" w:hAnsi="宋体" w:eastAsia="宋体"/>
          <w:bCs/>
          <w:color w:val="auto"/>
          <w:sz w:val="24"/>
          <w:highlight w:val="none"/>
        </w:rPr>
        <w:t xml:space="preserve">致：</w:t>
      </w:r>
      <w:r>
        <w:rPr>
          <w:rFonts w:hint="eastAsia" w:ascii="宋体" w:hAnsi="宋体" w:eastAsia="宋体"/>
          <w:b/>
          <w:bCs/>
          <w:color w:val="auto"/>
          <w:sz w:val="24"/>
          <w:highlight w:val="none"/>
          <w:u w:val="single"/>
        </w:rPr>
        <w:t xml:space="preserve">    （采购人）             ：</w:t>
      </w:r>
      <w:r/>
    </w:p>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    1、我公司完全理解</w:t>
      </w:r>
      <w:r>
        <w:rPr>
          <w:rFonts w:hint="eastAsia" w:ascii="宋体" w:hAnsi="宋体" w:eastAsia="宋体"/>
          <w:color w:val="auto"/>
          <w:sz w:val="24"/>
          <w:highlight w:val="none"/>
        </w:rPr>
        <w:t xml:space="preserve">本次招标最多可中一个标段的要求。</w:t>
      </w:r>
      <w:r>
        <w:rPr>
          <w:rFonts w:hint="eastAsia" w:ascii="宋体" w:hAnsi="宋体" w:eastAsia="宋体"/>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ascii="宋体" w:hAnsi="宋体" w:eastAsia="宋体"/>
          <w:bCs/>
          <w:color w:val="auto"/>
          <w:sz w:val="24"/>
          <w:highlight w:val="none"/>
        </w:rPr>
      </w:pPr>
      <w:r>
        <w:rPr>
          <w:rFonts w:hint="eastAsia" w:ascii="宋体" w:hAnsi="宋体" w:eastAsia="宋体"/>
          <w:bCs/>
          <w:color w:val="auto"/>
          <w:sz w:val="24"/>
          <w:highlight w:val="none"/>
        </w:rPr>
        <w:t xml:space="preserve">2、如果我公司经评委评审后在多个标段评分排名均为第一名时，我公司愿意按照下表的优先顺序选择排列于前的标段中标，放弃其余标段的中标权。</w:t>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中标优先顺序</w:t>
            </w:r>
            <w:r/>
          </w:p>
        </w:tc>
        <w:tc>
          <w:tcPr>
            <w:tcW w:w="3133"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标段</w:t>
            </w:r>
            <w:r/>
          </w:p>
        </w:tc>
        <w:tc>
          <w:tcPr>
            <w:tcW w:w="3133" w:type="dxa"/>
            <w:vAlign w:val="center"/>
            <w:textDirection w:val="lrTb"/>
            <w:noWrap w:val="false"/>
          </w:tcPr>
          <w:p>
            <w:pPr>
              <w:jc w:val="center"/>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服务内容</w:t>
            </w:r>
            <w:r/>
          </w:p>
        </w:tc>
      </w:tr>
      <w:tr>
        <w:trPr>
          <w:jc w:val="center"/>
          <w:trHeight w:val="447"/>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1</w:t>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454"/>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2</w:t>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459"/>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3</w:t>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459"/>
        </w:trPr>
        <w:tc>
          <w:tcPr>
            <w:tcW w:w="3130" w:type="dxa"/>
            <w:vAlign w:val="center"/>
            <w:textDirection w:val="lrTb"/>
            <w:noWrap w:val="false"/>
          </w:tcPr>
          <w:p>
            <w:pPr>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bl>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ind w:firstLine="560"/>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                                  投标供应商（全称并加盖公章）：</w:t>
      </w:r>
      <w:r/>
    </w:p>
    <w:p>
      <w:pPr>
        <w:rPr>
          <w:rFonts w:ascii="宋体" w:hAnsi="宋体" w:eastAsia="宋体"/>
          <w:color w:val="auto"/>
          <w:sz w:val="24"/>
          <w:highlight w:val="none"/>
        </w:rPr>
      </w:pPr>
      <w:r>
        <w:rPr>
          <w:rFonts w:ascii="宋体" w:hAnsi="宋体" w:eastAsia="宋体"/>
          <w:color w:val="auto"/>
          <w:sz w:val="24"/>
          <w:highlight w:val="none"/>
        </w:rPr>
      </w:r>
      <w:r/>
    </w:p>
    <w:p>
      <w:pPr>
        <w:rPr>
          <w:rFonts w:ascii="宋体" w:hAnsi="宋体" w:eastAsia="宋体"/>
          <w:color w:val="auto"/>
          <w:sz w:val="24"/>
          <w:highlight w:val="none"/>
        </w:rPr>
      </w:pPr>
      <w:r>
        <w:rPr>
          <w:rFonts w:ascii="宋体" w:hAnsi="宋体" w:eastAsia="宋体"/>
          <w:color w:val="auto"/>
          <w:sz w:val="24"/>
          <w:highlight w:val="none"/>
        </w:rPr>
      </w:r>
      <w:r/>
    </w:p>
    <w:p>
      <w:pPr>
        <w:ind w:firstLine="5760"/>
        <w:jc w:val="left"/>
        <w:rPr>
          <w:rFonts w:ascii="宋体" w:hAnsi="宋体" w:eastAsia="宋体"/>
          <w:color w:val="auto"/>
          <w:sz w:val="24"/>
          <w:highlight w:val="none"/>
        </w:rPr>
      </w:pPr>
      <w:r>
        <w:rPr>
          <w:rFonts w:hint="eastAsia" w:ascii="宋体" w:hAnsi="宋体" w:eastAsia="宋体"/>
          <w:color w:val="auto"/>
          <w:sz w:val="24"/>
          <w:highlight w:val="none"/>
        </w:rPr>
        <w:t xml:space="preserve">日期：</w:t>
      </w:r>
      <w:r/>
    </w:p>
    <w:p>
      <w:pPr>
        <w:spacing w:line="480" w:lineRule="auto"/>
        <w:rPr>
          <w:rFonts w:ascii="宋体" w:hAnsi="宋体"/>
          <w:bCs/>
          <w:color w:val="auto"/>
          <w:szCs w:val="21"/>
          <w:highlight w:val="none"/>
        </w:rPr>
      </w:pPr>
      <w:r>
        <w:rPr>
          <w:rFonts w:ascii="宋体" w:hAnsi="宋体"/>
          <w:bCs/>
          <w:color w:val="auto"/>
          <w:szCs w:val="21"/>
          <w:highlight w:val="none"/>
        </w:rPr>
      </w:r>
      <w:r/>
    </w:p>
    <w:p>
      <w:pPr>
        <w:rPr>
          <w:rFonts w:hint="eastAsia" w:ascii="黑体" w:hAnsi="宋体" w:eastAsia="黑体"/>
          <w:bCs/>
          <w:color w:val="auto"/>
          <w:sz w:val="24"/>
          <w:szCs w:val="24"/>
          <w:highlight w:val="none"/>
        </w:rPr>
      </w:pPr>
      <w:r>
        <w:rPr>
          <w:rFonts w:ascii="宋体" w:hAnsi="宋体"/>
          <w:bCs/>
          <w:color w:val="auto"/>
          <w:szCs w:val="21"/>
          <w:highlight w:val="none"/>
        </w:rPr>
        <w:br w:type="page" w:clear="all"/>
      </w:r>
      <w:r/>
    </w:p>
    <w:p>
      <w:pPr>
        <w:ind w:firstLine="480"/>
        <w:spacing w:line="360" w:lineRule="auto"/>
        <w:rPr>
          <w:rFonts w:ascii="黑体" w:hAnsi="宋体" w:eastAsia="黑体"/>
          <w:color w:val="auto"/>
          <w:sz w:val="24"/>
          <w:szCs w:val="24"/>
          <w:highlight w:val="none"/>
        </w:rPr>
      </w:pP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十四</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45"/>
        <w:ind w:firstLine="0"/>
        <w:spacing w:line="360" w:lineRule="auto"/>
        <w:rPr>
          <w:rFonts w:hint="eastAsia"/>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rPr>
          <w:rFonts w:hint="eastAsia"/>
          <w:color w:val="auto"/>
          <w:sz w:val="24"/>
          <w:highlight w:val="none"/>
        </w:rPr>
        <w:t xml:space="preserve"> </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pStyle w:val="1045"/>
        <w:ind w:firstLine="482"/>
        <w:spacing w:line="360" w:lineRule="auto"/>
        <w:rPr>
          <w:rFonts w:hint="eastAsia" w:ascii="宋体" w:hAnsi="宋体"/>
          <w:b/>
          <w:color w:val="auto"/>
          <w:sz w:val="24"/>
          <w:szCs w:val="24"/>
          <w:highlight w:val="none"/>
        </w:rPr>
      </w:pPr>
      <w:r>
        <w:rPr>
          <w:rFonts w:hint="eastAsia" w:ascii="宋体" w:hAnsi="宋体" w:eastAsia="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sectPr>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黑体">
    <w:panose1 w:val="02010609060101010101"/>
  </w:font>
  <w:font w:name="仿宋_GB2312">
    <w:panose1 w:val="02010609060101010101"/>
  </w:font>
  <w:font w:name="华文中宋">
    <w:panose1 w:val="02010600040101010101"/>
  </w:font>
  <w:font w:name="楷体_GB2312">
    <w:panose1 w:val="02010609060101010101"/>
  </w:font>
  <w:font w:name="Courier New">
    <w:panose1 w:val="02070309020205020404"/>
  </w:font>
  <w:font w:name="Tahoma">
    <w:panose1 w:val="020B0604030504040204"/>
  </w:font>
  <w:font w:name="Arial">
    <w:panose1 w:val="020B0604020202020204"/>
  </w:font>
  <w:font w:name="宋体">
    <w:panose1 w:val="02010600030101010101"/>
  </w:font>
  <w:font w:name="宋体-简">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rFonts w:hint="eastAsia" w:ascii="宋体" w:hAnsi="宋体"/>
        <w:lang w:eastAsia="zh-CN"/>
      </w:rPr>
      <w:t xml:space="preserve">JSZC-320214-JSZH-G2026-0039</w:t>
    </w:r>
    <w:r>
      <w:rPr>
        <w:rFonts w:hint="eastAsia" w:ascii="宋体" w:hAnsi="宋体"/>
      </w:rPr>
      <w:t xml:space="preserve">                                  </w:t>
    </w:r>
    <w:r>
      <w:rPr>
        <w:rFonts w:hint="eastAsia" w:ascii="宋体" w:hAnsi="宋体"/>
        <w:lang w:eastAsia="zh-CN"/>
      </w:rPr>
      <w:t xml:space="preserve">2026年重点排污单位监测项目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bullet"/>
      <w:pStyle w:val="83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82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next w:val="705"/>
    <w:link w:val="1055"/>
    <w:uiPriority w:val="0"/>
    <w:qFormat/>
    <w:pPr>
      <w:jc w:val="both"/>
      <w:widowControl w:val="off"/>
    </w:pPr>
    <w:rPr>
      <w:rFonts w:hint="default" w:ascii="Times New Roman" w:hAnsi="Times New Roman" w:eastAsia="宋体" w:cs="Times New Roman"/>
      <w:sz w:val="21"/>
      <w:lang w:val="en-US" w:eastAsia="zh-CN" w:bidi="ar-SA"/>
    </w:rPr>
  </w:style>
  <w:style w:type="paragraph" w:styleId="694">
    <w:name w:val="Heading 1"/>
    <w:basedOn w:val="693"/>
    <w:next w:val="693"/>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Normal Indent"/>
    <w:basedOn w:val="693"/>
    <w:uiPriority w:val="99"/>
    <w:semiHidden/>
    <w:unhideWhenUsed/>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706">
    <w:name w:val="toc 7"/>
    <w:basedOn w:val="693"/>
    <w:next w:val="693"/>
    <w:uiPriority w:val="39"/>
    <w:unhideWhenUsed/>
    <w:qFormat/>
    <w:pPr>
      <w:ind w:left="1701" w:right="0" w:firstLine="0"/>
      <w:spacing w:after="57"/>
    </w:p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basedOn w:val="693"/>
    <w:next w:val="693"/>
    <w:uiPriority w:val="99"/>
    <w:unhideWhenUsed/>
    <w:qFormat/>
    <w:pPr>
      <w:spacing w:after="120"/>
    </w:pPr>
    <w:rPr>
      <w:rFonts w:ascii="Times New Roman" w:hAnsi="Times New Roman"/>
      <w:sz w:val="20"/>
      <w:lang w:val="zh-CN"/>
    </w:rPr>
  </w:style>
  <w:style w:type="paragraph" w:styleId="709">
    <w:name w:val="Body Text Indent"/>
    <w:basedOn w:val="693"/>
    <w:uiPriority w:val="0"/>
    <w:qFormat/>
    <w:pPr>
      <w:ind w:left="420"/>
      <w:spacing w:after="120"/>
    </w:pPr>
  </w:style>
  <w:style w:type="paragraph" w:styleId="710">
    <w:name w:val="toc 5"/>
    <w:basedOn w:val="693"/>
    <w:next w:val="693"/>
    <w:uiPriority w:val="39"/>
    <w:unhideWhenUsed/>
    <w:qFormat/>
    <w:pPr>
      <w:ind w:left="1134" w:right="0" w:firstLine="0"/>
      <w:spacing w:after="57"/>
    </w:pPr>
  </w:style>
  <w:style w:type="paragraph" w:styleId="711">
    <w:name w:val="toc 3"/>
    <w:basedOn w:val="693"/>
    <w:next w:val="693"/>
    <w:uiPriority w:val="39"/>
    <w:unhideWhenUsed/>
    <w:qFormat/>
    <w:pPr>
      <w:ind w:left="567" w:right="0" w:firstLine="0"/>
      <w:spacing w:after="57"/>
    </w:pPr>
  </w:style>
  <w:style w:type="paragraph" w:styleId="712">
    <w:name w:val="toc 8"/>
    <w:basedOn w:val="693"/>
    <w:next w:val="693"/>
    <w:uiPriority w:val="39"/>
    <w:unhideWhenUsed/>
    <w:qFormat/>
    <w:pPr>
      <w:ind w:left="1984" w:right="0" w:firstLine="0"/>
      <w:spacing w:after="57"/>
    </w:pPr>
  </w:style>
  <w:style w:type="paragraph" w:styleId="713">
    <w:name w:val="endnote text"/>
    <w:basedOn w:val="693"/>
    <w:uiPriority w:val="99"/>
    <w:semiHidden/>
    <w:unhideWhenUsed/>
    <w:qFormat/>
    <w:pPr>
      <w:spacing w:after="0" w:line="240" w:lineRule="auto"/>
    </w:pPr>
    <w:rPr>
      <w:sz w:val="20"/>
    </w:rPr>
  </w:style>
  <w:style w:type="paragraph" w:styleId="714">
    <w:name w:val="Footer"/>
    <w:basedOn w:val="693"/>
    <w:uiPriority w:val="99"/>
    <w:unhideWhenUsed/>
    <w:qFormat/>
    <w:pPr>
      <w:spacing w:after="0" w:line="240" w:lineRule="auto"/>
      <w:tabs>
        <w:tab w:val="center" w:pos="7143" w:leader="none"/>
        <w:tab w:val="right" w:pos="14287" w:leader="none"/>
      </w:tabs>
    </w:pPr>
  </w:style>
  <w:style w:type="paragraph" w:styleId="715">
    <w:name w:val="Header"/>
    <w:basedOn w:val="693"/>
    <w:uiPriority w:val="99"/>
    <w:unhideWhenUsed/>
    <w:qFormat/>
    <w:pPr>
      <w:spacing w:after="0" w:line="240" w:lineRule="auto"/>
      <w:tabs>
        <w:tab w:val="center" w:pos="7143" w:leader="none"/>
        <w:tab w:val="right" w:pos="14287" w:leader="none"/>
      </w:tabs>
    </w:pPr>
  </w:style>
  <w:style w:type="paragraph" w:styleId="716">
    <w:name w:val="toc 1"/>
    <w:basedOn w:val="693"/>
    <w:next w:val="693"/>
    <w:uiPriority w:val="39"/>
    <w:unhideWhenUsed/>
    <w:qFormat/>
    <w:pPr>
      <w:ind w:left="0" w:right="0" w:firstLine="0"/>
      <w:spacing w:after="57"/>
    </w:pPr>
  </w:style>
  <w:style w:type="paragraph" w:styleId="717">
    <w:name w:val="toc 4"/>
    <w:basedOn w:val="693"/>
    <w:next w:val="693"/>
    <w:uiPriority w:val="39"/>
    <w:unhideWhenUsed/>
    <w:qFormat/>
    <w:pPr>
      <w:ind w:left="850" w:right="0" w:firstLine="0"/>
      <w:spacing w:after="57"/>
    </w:pPr>
  </w:style>
  <w:style w:type="paragraph" w:styleId="718">
    <w:name w:val="Subtitle"/>
    <w:basedOn w:val="693"/>
    <w:next w:val="693"/>
    <w:uiPriority w:val="11"/>
    <w:qFormat/>
    <w:pPr>
      <w:spacing w:before="200" w:after="200"/>
    </w:pPr>
    <w:rPr>
      <w:sz w:val="24"/>
      <w:szCs w:val="24"/>
    </w:rPr>
  </w:style>
  <w:style w:type="paragraph" w:styleId="719">
    <w:name w:val="footnote text"/>
    <w:basedOn w:val="693"/>
    <w:uiPriority w:val="99"/>
    <w:semiHidden/>
    <w:unhideWhenUsed/>
    <w:qFormat/>
    <w:pPr>
      <w:spacing w:after="40" w:line="240" w:lineRule="auto"/>
    </w:pPr>
    <w:rPr>
      <w:sz w:val="18"/>
    </w:rPr>
  </w:style>
  <w:style w:type="paragraph" w:styleId="720">
    <w:name w:val="toc 6"/>
    <w:basedOn w:val="693"/>
    <w:next w:val="693"/>
    <w:uiPriority w:val="39"/>
    <w:unhideWhenUsed/>
    <w:qFormat/>
    <w:pPr>
      <w:ind w:left="1417" w:right="0" w:firstLine="0"/>
      <w:spacing w:after="57"/>
    </w:pPr>
  </w:style>
  <w:style w:type="paragraph" w:styleId="721">
    <w:name w:val="table of figures"/>
    <w:basedOn w:val="693"/>
    <w:next w:val="693"/>
    <w:uiPriority w:val="99"/>
    <w:unhideWhenUsed/>
    <w:qFormat/>
    <w:pPr>
      <w:spacing w:after="0" w:afterAutospacing="0"/>
    </w:pPr>
  </w:style>
  <w:style w:type="paragraph" w:styleId="722">
    <w:name w:val="toc 2"/>
    <w:basedOn w:val="693"/>
    <w:next w:val="693"/>
    <w:uiPriority w:val="39"/>
    <w:unhideWhenUsed/>
    <w:qFormat/>
    <w:pPr>
      <w:ind w:left="283" w:right="0" w:firstLine="0"/>
      <w:spacing w:after="57"/>
    </w:pPr>
  </w:style>
  <w:style w:type="paragraph" w:styleId="723">
    <w:name w:val="toc 9"/>
    <w:basedOn w:val="693"/>
    <w:next w:val="693"/>
    <w:uiPriority w:val="39"/>
    <w:unhideWhenUsed/>
    <w:qFormat/>
    <w:pPr>
      <w:ind w:left="2268" w:right="0" w:firstLine="0"/>
      <w:spacing w:after="57"/>
    </w:pPr>
  </w:style>
  <w:style w:type="paragraph" w:styleId="724">
    <w:name w:val="Normal (Web)"/>
    <w:basedOn w:val="693"/>
    <w:uiPriority w:val="99"/>
    <w:semiHidden/>
    <w:unhideWhenUsed/>
    <w:qFormat/>
    <w:rPr>
      <w:sz w:val="24"/>
    </w:rPr>
  </w:style>
  <w:style w:type="paragraph" w:styleId="725">
    <w:name w:val="Title"/>
    <w:basedOn w:val="693"/>
    <w:next w:val="693"/>
    <w:uiPriority w:val="10"/>
    <w:qFormat/>
    <w:pPr>
      <w:contextualSpacing/>
      <w:spacing w:before="300" w:after="200"/>
    </w:pPr>
    <w:rPr>
      <w:sz w:val="48"/>
      <w:szCs w:val="48"/>
    </w:rPr>
  </w:style>
  <w:style w:type="paragraph" w:styleId="726">
    <w:name w:val="Body Text First Indent 2"/>
    <w:basedOn w:val="709"/>
    <w:uiPriority w:val="0"/>
    <w:qFormat/>
    <w:pPr>
      <w:ind w:firstLine="420"/>
      <w:spacing w:after="0"/>
    </w:pPr>
    <w:rPr>
      <w:sz w:val="30"/>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customStyle="1">
    <w:name w:val="标题 112"/>
    <w:basedOn w:val="693"/>
    <w:next w:val="693"/>
    <w:link w:val="742"/>
    <w:uiPriority w:val="9"/>
    <w:qFormat/>
    <w:pPr>
      <w:keepLines/>
      <w:keepNext/>
      <w:spacing w:before="480" w:after="200"/>
      <w:outlineLvl w:val="0"/>
    </w:pPr>
    <w:rPr>
      <w:rFonts w:ascii="Arial" w:hAnsi="Arial" w:eastAsia="Arial" w:cs="Arial"/>
      <w:sz w:val="40"/>
      <w:szCs w:val="40"/>
    </w:rPr>
  </w:style>
  <w:style w:type="paragraph" w:styleId="732" w:customStyle="1">
    <w:name w:val="标题 212"/>
    <w:basedOn w:val="693"/>
    <w:next w:val="693"/>
    <w:link w:val="743"/>
    <w:uiPriority w:val="9"/>
    <w:unhideWhenUsed/>
    <w:qFormat/>
    <w:pPr>
      <w:keepLines/>
      <w:keepNext/>
      <w:spacing w:before="360" w:after="200"/>
      <w:outlineLvl w:val="1"/>
    </w:pPr>
    <w:rPr>
      <w:rFonts w:ascii="Arial" w:hAnsi="Arial" w:eastAsia="Arial" w:cs="Arial"/>
      <w:sz w:val="34"/>
    </w:rPr>
  </w:style>
  <w:style w:type="paragraph" w:styleId="733" w:customStyle="1">
    <w:name w:val="标题 312"/>
    <w:basedOn w:val="693"/>
    <w:next w:val="693"/>
    <w:link w:val="744"/>
    <w:uiPriority w:val="9"/>
    <w:unhideWhenUsed/>
    <w:qFormat/>
    <w:pPr>
      <w:keepLines/>
      <w:keepNext/>
      <w:spacing w:before="320" w:after="200"/>
      <w:outlineLvl w:val="2"/>
    </w:pPr>
    <w:rPr>
      <w:rFonts w:ascii="Arial" w:hAnsi="Arial" w:eastAsia="Arial" w:cs="Arial"/>
      <w:sz w:val="30"/>
      <w:szCs w:val="30"/>
    </w:rPr>
  </w:style>
  <w:style w:type="paragraph" w:styleId="734" w:customStyle="1">
    <w:name w:val="标题 412"/>
    <w:basedOn w:val="693"/>
    <w:next w:val="693"/>
    <w:link w:val="745"/>
    <w:uiPriority w:val="9"/>
    <w:unhideWhenUsed/>
    <w:qFormat/>
    <w:pPr>
      <w:keepLines/>
      <w:keepNext/>
      <w:spacing w:before="320" w:after="200"/>
      <w:outlineLvl w:val="3"/>
    </w:pPr>
    <w:rPr>
      <w:rFonts w:ascii="Arial" w:hAnsi="Arial" w:eastAsia="Arial" w:cs="Arial"/>
      <w:b/>
      <w:bCs/>
      <w:sz w:val="26"/>
      <w:szCs w:val="26"/>
    </w:rPr>
  </w:style>
  <w:style w:type="paragraph" w:styleId="735" w:customStyle="1">
    <w:name w:val="标题 512"/>
    <w:basedOn w:val="693"/>
    <w:next w:val="693"/>
    <w:link w:val="746"/>
    <w:uiPriority w:val="9"/>
    <w:unhideWhenUsed/>
    <w:qFormat/>
    <w:pPr>
      <w:keepLines/>
      <w:keepNext/>
      <w:spacing w:before="320" w:after="200"/>
      <w:outlineLvl w:val="4"/>
    </w:pPr>
    <w:rPr>
      <w:rFonts w:ascii="Arial" w:hAnsi="Arial" w:eastAsia="Arial" w:cs="Arial"/>
      <w:b/>
      <w:bCs/>
      <w:sz w:val="24"/>
      <w:szCs w:val="24"/>
    </w:rPr>
  </w:style>
  <w:style w:type="paragraph" w:styleId="736" w:customStyle="1">
    <w:name w:val="标题 611"/>
    <w:basedOn w:val="693"/>
    <w:next w:val="693"/>
    <w:link w:val="747"/>
    <w:uiPriority w:val="9"/>
    <w:unhideWhenUsed/>
    <w:qFormat/>
    <w:pPr>
      <w:keepLines/>
      <w:keepNext/>
      <w:spacing w:before="320" w:after="200"/>
      <w:outlineLvl w:val="5"/>
    </w:pPr>
    <w:rPr>
      <w:rFonts w:ascii="Arial" w:hAnsi="Arial" w:eastAsia="Arial" w:cs="Arial"/>
      <w:b/>
      <w:bCs/>
      <w:sz w:val="22"/>
      <w:szCs w:val="22"/>
    </w:rPr>
  </w:style>
  <w:style w:type="paragraph" w:styleId="737" w:customStyle="1">
    <w:name w:val="标题 711"/>
    <w:basedOn w:val="693"/>
    <w:next w:val="693"/>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38" w:customStyle="1">
    <w:name w:val="标题 811"/>
    <w:basedOn w:val="693"/>
    <w:next w:val="693"/>
    <w:link w:val="749"/>
    <w:uiPriority w:val="9"/>
    <w:unhideWhenUsed/>
    <w:qFormat/>
    <w:pPr>
      <w:keepLines/>
      <w:keepNext/>
      <w:spacing w:before="320" w:after="200"/>
      <w:outlineLvl w:val="7"/>
    </w:pPr>
    <w:rPr>
      <w:rFonts w:ascii="Arial" w:hAnsi="Arial" w:eastAsia="Arial" w:cs="Arial"/>
      <w:i/>
      <w:iCs/>
      <w:sz w:val="22"/>
      <w:szCs w:val="22"/>
    </w:rPr>
  </w:style>
  <w:style w:type="paragraph" w:styleId="739" w:customStyle="1">
    <w:name w:val="标题 911"/>
    <w:basedOn w:val="693"/>
    <w:next w:val="693"/>
    <w:link w:val="750"/>
    <w:uiPriority w:val="9"/>
    <w:unhideWhenUsed/>
    <w:qFormat/>
    <w:pPr>
      <w:keepLines/>
      <w:keepNext/>
      <w:spacing w:before="320" w:after="200"/>
      <w:outlineLvl w:val="8"/>
    </w:pPr>
    <w:rPr>
      <w:rFonts w:ascii="Arial" w:hAnsi="Arial" w:eastAsia="Arial" w:cs="Arial"/>
      <w:i/>
      <w:iCs/>
      <w:sz w:val="21"/>
      <w:szCs w:val="21"/>
    </w:rPr>
  </w:style>
  <w:style w:type="character" w:styleId="740" w:customStyle="1">
    <w:name w:val="默认段落字体12"/>
    <w:link w:val="693"/>
    <w:uiPriority w:val="1"/>
    <w:unhideWhenUsed/>
    <w:qFormat/>
  </w:style>
  <w:style w:type="table" w:styleId="741" w:customStyle="1">
    <w:name w:val="普通表格12"/>
    <w:uiPriority w:val="99"/>
    <w:unhideWhenUsed/>
    <w:qFormat/>
    <w:tblPr/>
  </w:style>
  <w:style w:type="character" w:styleId="742" w:customStyle="1">
    <w:name w:val="Heading 1 Char"/>
    <w:link w:val="731"/>
    <w:uiPriority w:val="9"/>
    <w:qFormat/>
    <w:rPr>
      <w:rFonts w:ascii="Arial" w:hAnsi="Arial" w:eastAsia="Arial" w:cs="Arial"/>
      <w:sz w:val="40"/>
      <w:szCs w:val="40"/>
    </w:rPr>
  </w:style>
  <w:style w:type="character" w:styleId="743" w:customStyle="1">
    <w:name w:val="Heading 2 Char"/>
    <w:link w:val="732"/>
    <w:uiPriority w:val="9"/>
    <w:qFormat/>
    <w:rPr>
      <w:rFonts w:ascii="Arial" w:hAnsi="Arial" w:eastAsia="Arial" w:cs="Arial"/>
      <w:sz w:val="34"/>
    </w:rPr>
  </w:style>
  <w:style w:type="character" w:styleId="744" w:customStyle="1">
    <w:name w:val="Heading 3 Char"/>
    <w:link w:val="733"/>
    <w:uiPriority w:val="9"/>
    <w:qFormat/>
    <w:rPr>
      <w:rFonts w:ascii="Arial" w:hAnsi="Arial" w:eastAsia="Arial" w:cs="Arial"/>
      <w:sz w:val="30"/>
      <w:szCs w:val="30"/>
    </w:rPr>
  </w:style>
  <w:style w:type="character" w:styleId="745" w:customStyle="1">
    <w:name w:val="Heading 4 Char"/>
    <w:link w:val="734"/>
    <w:uiPriority w:val="9"/>
    <w:qFormat/>
    <w:rPr>
      <w:rFonts w:ascii="Arial" w:hAnsi="Arial" w:eastAsia="Arial" w:cs="Arial"/>
      <w:b/>
      <w:bCs/>
      <w:sz w:val="26"/>
      <w:szCs w:val="26"/>
    </w:rPr>
  </w:style>
  <w:style w:type="character" w:styleId="746" w:customStyle="1">
    <w:name w:val="Heading 5 Char"/>
    <w:link w:val="735"/>
    <w:uiPriority w:val="9"/>
    <w:qFormat/>
    <w:rPr>
      <w:rFonts w:ascii="Arial" w:hAnsi="Arial" w:eastAsia="Arial" w:cs="Arial"/>
      <w:b/>
      <w:bCs/>
      <w:sz w:val="24"/>
      <w:szCs w:val="24"/>
    </w:rPr>
  </w:style>
  <w:style w:type="character" w:styleId="747" w:customStyle="1">
    <w:name w:val="Heading 6 Char"/>
    <w:link w:val="736"/>
    <w:uiPriority w:val="9"/>
    <w:qFormat/>
    <w:rPr>
      <w:rFonts w:ascii="Arial" w:hAnsi="Arial" w:eastAsia="Arial" w:cs="Arial"/>
      <w:b/>
      <w:bCs/>
      <w:sz w:val="22"/>
      <w:szCs w:val="22"/>
    </w:rPr>
  </w:style>
  <w:style w:type="character" w:styleId="748" w:customStyle="1">
    <w:name w:val="Heading 7 Char"/>
    <w:link w:val="737"/>
    <w:uiPriority w:val="9"/>
    <w:qFormat/>
    <w:rPr>
      <w:rFonts w:ascii="Arial" w:hAnsi="Arial" w:eastAsia="Arial" w:cs="Arial"/>
      <w:b/>
      <w:bCs/>
      <w:i/>
      <w:iCs/>
      <w:sz w:val="22"/>
      <w:szCs w:val="22"/>
    </w:rPr>
  </w:style>
  <w:style w:type="character" w:styleId="749" w:customStyle="1">
    <w:name w:val="Heading 8 Char"/>
    <w:link w:val="738"/>
    <w:uiPriority w:val="9"/>
    <w:qFormat/>
    <w:rPr>
      <w:rFonts w:ascii="Arial" w:hAnsi="Arial" w:eastAsia="Arial" w:cs="Arial"/>
      <w:i/>
      <w:iCs/>
      <w:sz w:val="22"/>
      <w:szCs w:val="22"/>
    </w:rPr>
  </w:style>
  <w:style w:type="character" w:styleId="750" w:customStyle="1">
    <w:name w:val="Heading 9 Char"/>
    <w:link w:val="739"/>
    <w:uiPriority w:val="9"/>
    <w:qFormat/>
    <w:rPr>
      <w:rFonts w:ascii="Arial" w:hAnsi="Arial" w:eastAsia="Arial" w:cs="Arial"/>
      <w:i/>
      <w:iCs/>
      <w:sz w:val="21"/>
      <w:szCs w:val="21"/>
    </w:rPr>
  </w:style>
  <w:style w:type="paragraph" w:styleId="751" w:customStyle="1">
    <w:name w:val="目录 712"/>
    <w:basedOn w:val="693"/>
    <w:next w:val="693"/>
    <w:uiPriority w:val="39"/>
    <w:unhideWhenUsed/>
    <w:qFormat/>
    <w:pPr>
      <w:ind w:left="1701" w:right="0" w:firstLine="0"/>
      <w:spacing w:after="57"/>
    </w:pPr>
  </w:style>
  <w:style w:type="paragraph" w:styleId="752" w:customStyle="1">
    <w:name w:val="题注11"/>
    <w:basedOn w:val="693"/>
    <w:next w:val="693"/>
    <w:uiPriority w:val="35"/>
    <w:unhideWhenUsed/>
    <w:qFormat/>
    <w:pPr>
      <w:spacing w:line="276" w:lineRule="auto"/>
    </w:pPr>
    <w:rPr>
      <w:b/>
      <w:bCs/>
      <w:color w:val="4f81bd"/>
      <w:sz w:val="18"/>
      <w:szCs w:val="18"/>
    </w:rPr>
  </w:style>
  <w:style w:type="paragraph" w:styleId="753" w:customStyle="1">
    <w:name w:val="目录 512"/>
    <w:basedOn w:val="693"/>
    <w:next w:val="693"/>
    <w:uiPriority w:val="39"/>
    <w:unhideWhenUsed/>
    <w:qFormat/>
    <w:pPr>
      <w:ind w:left="1134" w:right="0" w:firstLine="0"/>
      <w:spacing w:after="57"/>
    </w:pPr>
  </w:style>
  <w:style w:type="paragraph" w:styleId="754" w:customStyle="1">
    <w:name w:val="目录 312"/>
    <w:basedOn w:val="693"/>
    <w:next w:val="693"/>
    <w:uiPriority w:val="39"/>
    <w:unhideWhenUsed/>
    <w:qFormat/>
    <w:pPr>
      <w:ind w:left="567" w:right="0" w:firstLine="0"/>
      <w:spacing w:after="57"/>
    </w:pPr>
  </w:style>
  <w:style w:type="paragraph" w:styleId="755" w:customStyle="1">
    <w:name w:val="目录 812"/>
    <w:basedOn w:val="693"/>
    <w:next w:val="693"/>
    <w:uiPriority w:val="39"/>
    <w:unhideWhenUsed/>
    <w:qFormat/>
    <w:pPr>
      <w:ind w:left="1984" w:right="0" w:firstLine="0"/>
      <w:spacing w:after="57"/>
    </w:pPr>
  </w:style>
  <w:style w:type="paragraph" w:styleId="756" w:customStyle="1">
    <w:name w:val="尾注文本12"/>
    <w:basedOn w:val="693"/>
    <w:uiPriority w:val="99"/>
    <w:unhideWhenUsed/>
    <w:qFormat/>
    <w:pPr>
      <w:spacing w:after="0" w:line="240" w:lineRule="auto"/>
    </w:pPr>
    <w:rPr>
      <w:sz w:val="20"/>
    </w:rPr>
  </w:style>
  <w:style w:type="paragraph" w:styleId="757" w:customStyle="1">
    <w:name w:val="页脚13"/>
    <w:basedOn w:val="693"/>
    <w:uiPriority w:val="99"/>
    <w:unhideWhenUsed/>
    <w:qFormat/>
    <w:pPr>
      <w:spacing w:after="0" w:line="240" w:lineRule="auto"/>
      <w:tabs>
        <w:tab w:val="center" w:pos="7143" w:leader="none"/>
        <w:tab w:val="right" w:pos="14287" w:leader="none"/>
      </w:tabs>
    </w:pPr>
  </w:style>
  <w:style w:type="paragraph" w:styleId="758" w:customStyle="1">
    <w:name w:val="页眉12"/>
    <w:basedOn w:val="693"/>
    <w:uiPriority w:val="99"/>
    <w:unhideWhenUsed/>
    <w:qFormat/>
    <w:pPr>
      <w:spacing w:after="0" w:line="240" w:lineRule="auto"/>
      <w:tabs>
        <w:tab w:val="center" w:pos="7143" w:leader="none"/>
        <w:tab w:val="right" w:pos="14287" w:leader="none"/>
      </w:tabs>
    </w:pPr>
  </w:style>
  <w:style w:type="paragraph" w:styleId="759" w:customStyle="1">
    <w:name w:val="目录 112"/>
    <w:basedOn w:val="693"/>
    <w:next w:val="693"/>
    <w:uiPriority w:val="39"/>
    <w:unhideWhenUsed/>
    <w:qFormat/>
    <w:pPr>
      <w:ind w:left="0" w:right="0" w:firstLine="0"/>
      <w:spacing w:after="57"/>
    </w:pPr>
  </w:style>
  <w:style w:type="paragraph" w:styleId="760" w:customStyle="1">
    <w:name w:val="目录 412"/>
    <w:basedOn w:val="693"/>
    <w:next w:val="693"/>
    <w:uiPriority w:val="39"/>
    <w:unhideWhenUsed/>
    <w:qFormat/>
    <w:pPr>
      <w:ind w:left="850" w:right="0" w:firstLine="0"/>
      <w:spacing w:after="57"/>
    </w:pPr>
  </w:style>
  <w:style w:type="paragraph" w:styleId="761" w:customStyle="1">
    <w:name w:val="副标题12"/>
    <w:basedOn w:val="693"/>
    <w:next w:val="693"/>
    <w:uiPriority w:val="11"/>
    <w:qFormat/>
    <w:pPr>
      <w:spacing w:before="200" w:after="200"/>
    </w:pPr>
    <w:rPr>
      <w:sz w:val="24"/>
      <w:szCs w:val="24"/>
    </w:rPr>
  </w:style>
  <w:style w:type="paragraph" w:styleId="762" w:customStyle="1">
    <w:name w:val="脚注文本12"/>
    <w:basedOn w:val="693"/>
    <w:uiPriority w:val="99"/>
    <w:unhideWhenUsed/>
    <w:qFormat/>
    <w:pPr>
      <w:spacing w:after="40" w:line="240" w:lineRule="auto"/>
    </w:pPr>
    <w:rPr>
      <w:sz w:val="18"/>
    </w:rPr>
  </w:style>
  <w:style w:type="paragraph" w:styleId="763" w:customStyle="1">
    <w:name w:val="目录 612"/>
    <w:basedOn w:val="693"/>
    <w:next w:val="693"/>
    <w:uiPriority w:val="39"/>
    <w:unhideWhenUsed/>
    <w:qFormat/>
    <w:pPr>
      <w:ind w:left="1417" w:right="0" w:firstLine="0"/>
      <w:spacing w:after="57"/>
    </w:pPr>
  </w:style>
  <w:style w:type="paragraph" w:styleId="764" w:customStyle="1">
    <w:name w:val="图表目录12"/>
    <w:basedOn w:val="693"/>
    <w:next w:val="693"/>
    <w:uiPriority w:val="99"/>
    <w:unhideWhenUsed/>
    <w:qFormat/>
    <w:pPr>
      <w:spacing w:after="0" w:afterAutospacing="0"/>
    </w:pPr>
  </w:style>
  <w:style w:type="paragraph" w:styleId="765" w:customStyle="1">
    <w:name w:val="目录 212"/>
    <w:basedOn w:val="693"/>
    <w:next w:val="693"/>
    <w:uiPriority w:val="39"/>
    <w:unhideWhenUsed/>
    <w:qFormat/>
    <w:pPr>
      <w:ind w:left="283" w:right="0" w:firstLine="0"/>
      <w:spacing w:after="57"/>
    </w:pPr>
  </w:style>
  <w:style w:type="paragraph" w:styleId="766" w:customStyle="1">
    <w:name w:val="目录 912"/>
    <w:basedOn w:val="693"/>
    <w:next w:val="693"/>
    <w:uiPriority w:val="39"/>
    <w:unhideWhenUsed/>
    <w:qFormat/>
    <w:pPr>
      <w:ind w:left="2268" w:right="0" w:firstLine="0"/>
      <w:spacing w:after="57"/>
    </w:pPr>
  </w:style>
  <w:style w:type="paragraph" w:styleId="767" w:customStyle="1">
    <w:name w:val="标题12"/>
    <w:basedOn w:val="693"/>
    <w:next w:val="693"/>
    <w:uiPriority w:val="10"/>
    <w:qFormat/>
    <w:pPr>
      <w:contextualSpacing/>
      <w:spacing w:before="300" w:after="200"/>
    </w:pPr>
    <w:rPr>
      <w:sz w:val="48"/>
      <w:szCs w:val="48"/>
    </w:rPr>
  </w:style>
  <w:style w:type="table" w:styleId="768" w:customStyle="1">
    <w:name w:val="网格型12"/>
    <w:uiPriority w:val="59"/>
    <w:qFormat/>
    <w:pPr>
      <w:spacing w:after="0" w:line="240" w:lineRule="auto"/>
    </w:pPr>
    <w:tblPr/>
  </w:style>
  <w:style w:type="character" w:styleId="769" w:customStyle="1">
    <w:name w:val="尾注引用12"/>
    <w:link w:val="693"/>
    <w:uiPriority w:val="99"/>
    <w:unhideWhenUsed/>
    <w:qFormat/>
    <w:rPr>
      <w:vertAlign w:val="superscript"/>
    </w:rPr>
  </w:style>
  <w:style w:type="character" w:styleId="770" w:customStyle="1">
    <w:name w:val="超链接12"/>
    <w:link w:val="693"/>
    <w:uiPriority w:val="99"/>
    <w:unhideWhenUsed/>
    <w:qFormat/>
    <w:rPr>
      <w:color w:val="0000ff"/>
      <w:u w:val="single"/>
    </w:rPr>
  </w:style>
  <w:style w:type="character" w:styleId="771" w:customStyle="1">
    <w:name w:val="脚注引用12"/>
    <w:link w:val="693"/>
    <w:uiPriority w:val="99"/>
    <w:unhideWhenUsed/>
    <w:qFormat/>
    <w:rPr>
      <w:vertAlign w:val="superscript"/>
    </w:rPr>
  </w:style>
  <w:style w:type="character" w:styleId="772" w:customStyle="1">
    <w:name w:val="font01"/>
    <w:link w:val="693"/>
    <w:uiPriority w:val="0"/>
    <w:qFormat/>
    <w:rPr>
      <w:rFonts w:ascii="Tahoma" w:hAnsi="Tahoma" w:eastAsia="Tahoma" w:cs="Tahoma"/>
      <w:color w:val="333333"/>
      <w:sz w:val="20"/>
      <w:szCs w:val="20"/>
      <w:u w:val="none"/>
    </w:rPr>
  </w:style>
  <w:style w:type="paragraph" w:styleId="773" w:customStyle="1">
    <w:name w:val="TOC Heading"/>
    <w:uiPriority w:val="39"/>
    <w:unhideWhenUsed/>
    <w:qFormat/>
    <w:rPr>
      <w:rFonts w:hint="default" w:ascii="Times New Roman" w:hAnsi="Times New Roman" w:eastAsia="宋体" w:cs="Times New Roman"/>
    </w:rPr>
  </w:style>
  <w:style w:type="paragraph" w:styleId="774" w:customStyle="1">
    <w:name w:val="标题 111"/>
    <w:basedOn w:val="693"/>
    <w:next w:val="693"/>
    <w:link w:val="775"/>
    <w:uiPriority w:val="9"/>
    <w:qFormat/>
    <w:pPr>
      <w:keepLines/>
      <w:keepNext/>
      <w:spacing w:before="480" w:after="200"/>
      <w:outlineLvl w:val="0"/>
    </w:pPr>
    <w:rPr>
      <w:rFonts w:ascii="Arial" w:hAnsi="Arial" w:eastAsia="Arial" w:cs="Arial"/>
      <w:sz w:val="40"/>
      <w:szCs w:val="40"/>
    </w:rPr>
  </w:style>
  <w:style w:type="character" w:styleId="775" w:customStyle="1">
    <w:name w:val="标题 1 Char1"/>
    <w:link w:val="774"/>
    <w:uiPriority w:val="9"/>
    <w:qFormat/>
    <w:rPr>
      <w:rFonts w:ascii="Arial" w:hAnsi="Arial" w:eastAsia="Arial" w:cs="Arial"/>
      <w:sz w:val="40"/>
      <w:szCs w:val="40"/>
    </w:rPr>
  </w:style>
  <w:style w:type="paragraph" w:styleId="776" w:customStyle="1">
    <w:name w:val="标题 211"/>
    <w:basedOn w:val="693"/>
    <w:next w:val="693"/>
    <w:link w:val="777"/>
    <w:uiPriority w:val="9"/>
    <w:unhideWhenUsed/>
    <w:qFormat/>
    <w:pPr>
      <w:keepLines/>
      <w:keepNext/>
      <w:spacing w:before="360" w:after="200"/>
      <w:outlineLvl w:val="1"/>
    </w:pPr>
    <w:rPr>
      <w:rFonts w:ascii="Arial" w:hAnsi="Arial" w:eastAsia="Arial" w:cs="Arial"/>
      <w:sz w:val="34"/>
    </w:rPr>
  </w:style>
  <w:style w:type="character" w:styleId="777" w:customStyle="1">
    <w:name w:val="标题 2 Char1"/>
    <w:link w:val="776"/>
    <w:uiPriority w:val="9"/>
    <w:qFormat/>
    <w:rPr>
      <w:rFonts w:ascii="Arial" w:hAnsi="Arial" w:eastAsia="Arial" w:cs="Arial"/>
      <w:sz w:val="34"/>
    </w:rPr>
  </w:style>
  <w:style w:type="paragraph" w:styleId="778" w:customStyle="1">
    <w:name w:val="标题 311"/>
    <w:basedOn w:val="693"/>
    <w:next w:val="693"/>
    <w:link w:val="779"/>
    <w:uiPriority w:val="9"/>
    <w:unhideWhenUsed/>
    <w:qFormat/>
    <w:pPr>
      <w:keepLines/>
      <w:keepNext/>
      <w:spacing w:before="320" w:after="200"/>
      <w:outlineLvl w:val="2"/>
    </w:pPr>
    <w:rPr>
      <w:rFonts w:ascii="Arial" w:hAnsi="Arial" w:eastAsia="Arial" w:cs="Arial"/>
      <w:sz w:val="30"/>
      <w:szCs w:val="30"/>
    </w:rPr>
  </w:style>
  <w:style w:type="character" w:styleId="779" w:customStyle="1">
    <w:name w:val="标题 3 Char1"/>
    <w:link w:val="778"/>
    <w:uiPriority w:val="9"/>
    <w:qFormat/>
    <w:rPr>
      <w:rFonts w:ascii="Arial" w:hAnsi="Arial" w:eastAsia="Arial" w:cs="Arial"/>
      <w:sz w:val="30"/>
      <w:szCs w:val="30"/>
    </w:rPr>
  </w:style>
  <w:style w:type="paragraph" w:styleId="780" w:customStyle="1">
    <w:name w:val="标题 411"/>
    <w:basedOn w:val="693"/>
    <w:next w:val="693"/>
    <w:link w:val="781"/>
    <w:uiPriority w:val="9"/>
    <w:unhideWhenUsed/>
    <w:qFormat/>
    <w:pPr>
      <w:keepLines/>
      <w:keepNext/>
      <w:spacing w:before="320" w:after="200"/>
      <w:outlineLvl w:val="3"/>
    </w:pPr>
    <w:rPr>
      <w:rFonts w:ascii="Arial" w:hAnsi="Arial" w:eastAsia="Arial" w:cs="Arial"/>
      <w:b/>
      <w:bCs/>
      <w:sz w:val="26"/>
      <w:szCs w:val="26"/>
    </w:rPr>
  </w:style>
  <w:style w:type="character" w:styleId="781" w:customStyle="1">
    <w:name w:val="标题 4 Char1"/>
    <w:link w:val="780"/>
    <w:uiPriority w:val="9"/>
    <w:qFormat/>
    <w:rPr>
      <w:rFonts w:ascii="Arial" w:hAnsi="Arial" w:eastAsia="Arial" w:cs="Arial"/>
      <w:b/>
      <w:bCs/>
      <w:sz w:val="26"/>
      <w:szCs w:val="26"/>
    </w:rPr>
  </w:style>
  <w:style w:type="paragraph" w:styleId="782" w:customStyle="1">
    <w:name w:val="标题 511"/>
    <w:basedOn w:val="693"/>
    <w:next w:val="693"/>
    <w:link w:val="783"/>
    <w:uiPriority w:val="9"/>
    <w:unhideWhenUsed/>
    <w:qFormat/>
    <w:pPr>
      <w:keepLines/>
      <w:keepNext/>
      <w:spacing w:before="320" w:after="200"/>
      <w:outlineLvl w:val="4"/>
    </w:pPr>
    <w:rPr>
      <w:rFonts w:ascii="Arial" w:hAnsi="Arial" w:eastAsia="Arial" w:cs="Arial"/>
      <w:b/>
      <w:bCs/>
      <w:sz w:val="24"/>
      <w:szCs w:val="24"/>
    </w:rPr>
  </w:style>
  <w:style w:type="character" w:styleId="783" w:customStyle="1">
    <w:name w:val="标题 5 Char1"/>
    <w:link w:val="782"/>
    <w:uiPriority w:val="9"/>
    <w:qFormat/>
    <w:rPr>
      <w:rFonts w:ascii="Arial" w:hAnsi="Arial" w:eastAsia="Arial" w:cs="Arial"/>
      <w:b/>
      <w:bCs/>
      <w:sz w:val="24"/>
      <w:szCs w:val="24"/>
    </w:rPr>
  </w:style>
  <w:style w:type="paragraph" w:styleId="784" w:customStyle="1">
    <w:name w:val="标题 61"/>
    <w:basedOn w:val="693"/>
    <w:next w:val="693"/>
    <w:link w:val="785"/>
    <w:uiPriority w:val="9"/>
    <w:unhideWhenUsed/>
    <w:qFormat/>
    <w:pPr>
      <w:keepLines/>
      <w:keepNext/>
      <w:spacing w:before="320" w:after="200"/>
      <w:outlineLvl w:val="5"/>
    </w:pPr>
    <w:rPr>
      <w:rFonts w:ascii="Arial" w:hAnsi="Arial" w:eastAsia="Arial" w:cs="Arial"/>
      <w:b/>
      <w:bCs/>
      <w:sz w:val="22"/>
      <w:szCs w:val="22"/>
    </w:rPr>
  </w:style>
  <w:style w:type="character" w:styleId="785" w:customStyle="1">
    <w:name w:val="标题 6 Char"/>
    <w:link w:val="784"/>
    <w:uiPriority w:val="9"/>
    <w:qFormat/>
    <w:rPr>
      <w:rFonts w:ascii="Arial" w:hAnsi="Arial" w:eastAsia="Arial" w:cs="Arial"/>
      <w:b/>
      <w:bCs/>
      <w:sz w:val="22"/>
      <w:szCs w:val="22"/>
    </w:rPr>
  </w:style>
  <w:style w:type="paragraph" w:styleId="786" w:customStyle="1">
    <w:name w:val="标题 71"/>
    <w:basedOn w:val="693"/>
    <w:next w:val="693"/>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customStyle="1">
    <w:name w:val="标题 7 Char"/>
    <w:link w:val="786"/>
    <w:uiPriority w:val="9"/>
    <w:qFormat/>
    <w:rPr>
      <w:rFonts w:ascii="Arial" w:hAnsi="Arial" w:eastAsia="Arial" w:cs="Arial"/>
      <w:b/>
      <w:bCs/>
      <w:i/>
      <w:iCs/>
      <w:sz w:val="22"/>
      <w:szCs w:val="22"/>
    </w:rPr>
  </w:style>
  <w:style w:type="paragraph" w:styleId="788" w:customStyle="1">
    <w:name w:val="标题 81"/>
    <w:basedOn w:val="693"/>
    <w:next w:val="693"/>
    <w:link w:val="789"/>
    <w:uiPriority w:val="9"/>
    <w:unhideWhenUsed/>
    <w:qFormat/>
    <w:pPr>
      <w:keepLines/>
      <w:keepNext/>
      <w:spacing w:before="320" w:after="200"/>
      <w:outlineLvl w:val="7"/>
    </w:pPr>
    <w:rPr>
      <w:rFonts w:ascii="Arial" w:hAnsi="Arial" w:eastAsia="Arial" w:cs="Arial"/>
      <w:i/>
      <w:iCs/>
      <w:sz w:val="22"/>
      <w:szCs w:val="22"/>
    </w:rPr>
  </w:style>
  <w:style w:type="character" w:styleId="789" w:customStyle="1">
    <w:name w:val="标题 8 Char"/>
    <w:link w:val="788"/>
    <w:uiPriority w:val="9"/>
    <w:qFormat/>
    <w:rPr>
      <w:rFonts w:ascii="Arial" w:hAnsi="Arial" w:eastAsia="Arial" w:cs="Arial"/>
      <w:i/>
      <w:iCs/>
      <w:sz w:val="22"/>
      <w:szCs w:val="22"/>
    </w:rPr>
  </w:style>
  <w:style w:type="paragraph" w:styleId="790" w:customStyle="1">
    <w:name w:val="标题 91"/>
    <w:basedOn w:val="693"/>
    <w:next w:val="693"/>
    <w:link w:val="791"/>
    <w:uiPriority w:val="9"/>
    <w:unhideWhenUsed/>
    <w:qFormat/>
    <w:pPr>
      <w:keepLines/>
      <w:keepNext/>
      <w:spacing w:before="320" w:after="200"/>
      <w:outlineLvl w:val="8"/>
    </w:pPr>
    <w:rPr>
      <w:rFonts w:ascii="Arial" w:hAnsi="Arial" w:eastAsia="Arial" w:cs="Arial"/>
      <w:i/>
      <w:iCs/>
      <w:szCs w:val="21"/>
    </w:rPr>
  </w:style>
  <w:style w:type="character" w:styleId="791" w:customStyle="1">
    <w:name w:val="标题 9 Char"/>
    <w:link w:val="790"/>
    <w:uiPriority w:val="9"/>
    <w:qFormat/>
    <w:rPr>
      <w:rFonts w:ascii="Arial" w:hAnsi="Arial" w:eastAsia="Arial" w:cs="Arial"/>
      <w:i/>
      <w:iCs/>
      <w:sz w:val="21"/>
      <w:szCs w:val="21"/>
    </w:rPr>
  </w:style>
  <w:style w:type="character" w:styleId="792" w:customStyle="1">
    <w:name w:val="默认段落字体11"/>
    <w:link w:val="693"/>
    <w:uiPriority w:val="1"/>
    <w:unhideWhenUsed/>
    <w:qFormat/>
  </w:style>
  <w:style w:type="table" w:styleId="793" w:customStyle="1">
    <w:name w:val="普通表格11"/>
    <w:uiPriority w:val="99"/>
    <w:unhideWhenUsed/>
    <w:qFormat/>
    <w:tblPr/>
  </w:style>
  <w:style w:type="paragraph" w:styleId="794" w:customStyle="1">
    <w:name w:val="目录 711"/>
    <w:basedOn w:val="693"/>
    <w:next w:val="693"/>
    <w:uiPriority w:val="39"/>
    <w:unhideWhenUsed/>
    <w:qFormat/>
    <w:pPr>
      <w:ind w:left="1701"/>
      <w:spacing w:after="57"/>
    </w:pPr>
  </w:style>
  <w:style w:type="paragraph" w:styleId="795" w:customStyle="1">
    <w:name w:val="正文缩进111"/>
    <w:basedOn w:val="693"/>
    <w:uiPriority w:val="0"/>
    <w:qFormat/>
    <w:pPr>
      <w:ind w:firstLine="420"/>
      <w:jc w:val="left"/>
      <w:widowControl/>
    </w:pPr>
    <w:rPr>
      <w:sz w:val="20"/>
    </w:rPr>
  </w:style>
  <w:style w:type="paragraph" w:styleId="796" w:customStyle="1">
    <w:name w:val="题注1"/>
    <w:basedOn w:val="693"/>
    <w:next w:val="693"/>
    <w:uiPriority w:val="35"/>
    <w:unhideWhenUsed/>
    <w:qFormat/>
    <w:pPr>
      <w:spacing w:line="276" w:lineRule="auto"/>
    </w:pPr>
    <w:rPr>
      <w:b/>
      <w:bCs/>
      <w:color w:val="4f81bd"/>
      <w:sz w:val="18"/>
      <w:szCs w:val="18"/>
    </w:rPr>
  </w:style>
  <w:style w:type="paragraph" w:styleId="797" w:customStyle="1">
    <w:name w:val="目录 511"/>
    <w:basedOn w:val="693"/>
    <w:next w:val="693"/>
    <w:uiPriority w:val="39"/>
    <w:unhideWhenUsed/>
    <w:qFormat/>
    <w:pPr>
      <w:ind w:left="1134"/>
      <w:spacing w:after="57"/>
    </w:pPr>
  </w:style>
  <w:style w:type="paragraph" w:styleId="798" w:customStyle="1">
    <w:name w:val="目录 311"/>
    <w:basedOn w:val="693"/>
    <w:next w:val="693"/>
    <w:uiPriority w:val="39"/>
    <w:unhideWhenUsed/>
    <w:qFormat/>
    <w:pPr>
      <w:ind w:left="567"/>
      <w:spacing w:after="57"/>
    </w:pPr>
  </w:style>
  <w:style w:type="paragraph" w:styleId="799" w:customStyle="1">
    <w:name w:val="纯文本12"/>
    <w:basedOn w:val="693"/>
    <w:uiPriority w:val="0"/>
    <w:qFormat/>
    <w:rPr>
      <w:rFonts w:hint="eastAsia" w:ascii="宋体" w:hAnsi="Courier New"/>
      <w:szCs w:val="21"/>
    </w:rPr>
  </w:style>
  <w:style w:type="paragraph" w:styleId="800" w:customStyle="1">
    <w:name w:val="目录 811"/>
    <w:basedOn w:val="693"/>
    <w:next w:val="693"/>
    <w:uiPriority w:val="39"/>
    <w:unhideWhenUsed/>
    <w:qFormat/>
    <w:pPr>
      <w:ind w:left="1984"/>
      <w:spacing w:after="57"/>
    </w:pPr>
  </w:style>
  <w:style w:type="paragraph" w:styleId="801" w:customStyle="1">
    <w:name w:val="尾注文本11"/>
    <w:basedOn w:val="693"/>
    <w:uiPriority w:val="99"/>
    <w:unhideWhenUsed/>
    <w:qFormat/>
    <w:rPr>
      <w:sz w:val="20"/>
    </w:rPr>
  </w:style>
  <w:style w:type="paragraph" w:styleId="802" w:customStyle="1">
    <w:name w:val="页脚12"/>
    <w:basedOn w:val="693"/>
    <w:uiPriority w:val="99"/>
    <w:unhideWhenUsed/>
    <w:qFormat/>
    <w:pPr>
      <w:tabs>
        <w:tab w:val="center" w:pos="7143" w:leader="none"/>
        <w:tab w:val="right" w:pos="14287" w:leader="none"/>
      </w:tabs>
    </w:pPr>
  </w:style>
  <w:style w:type="paragraph" w:styleId="803" w:customStyle="1">
    <w:name w:val="页眉11"/>
    <w:basedOn w:val="693"/>
    <w:uiPriority w:val="99"/>
    <w:unhideWhenUsed/>
    <w:qFormat/>
    <w:pPr>
      <w:tabs>
        <w:tab w:val="center" w:pos="7143" w:leader="none"/>
        <w:tab w:val="right" w:pos="14287" w:leader="none"/>
      </w:tabs>
    </w:pPr>
  </w:style>
  <w:style w:type="paragraph" w:styleId="804" w:customStyle="1">
    <w:name w:val="目录 111"/>
    <w:basedOn w:val="693"/>
    <w:next w:val="693"/>
    <w:uiPriority w:val="39"/>
    <w:unhideWhenUsed/>
    <w:qFormat/>
    <w:pPr>
      <w:spacing w:after="57"/>
    </w:pPr>
  </w:style>
  <w:style w:type="paragraph" w:styleId="805" w:customStyle="1">
    <w:name w:val="目录 411"/>
    <w:basedOn w:val="693"/>
    <w:next w:val="693"/>
    <w:uiPriority w:val="39"/>
    <w:unhideWhenUsed/>
    <w:qFormat/>
    <w:pPr>
      <w:ind w:left="850"/>
      <w:spacing w:after="57"/>
    </w:pPr>
  </w:style>
  <w:style w:type="paragraph" w:styleId="806" w:customStyle="1">
    <w:name w:val="副标题11"/>
    <w:basedOn w:val="693"/>
    <w:next w:val="693"/>
    <w:uiPriority w:val="11"/>
    <w:qFormat/>
    <w:pPr>
      <w:spacing w:before="200" w:after="200"/>
    </w:pPr>
    <w:rPr>
      <w:sz w:val="24"/>
      <w:szCs w:val="24"/>
    </w:rPr>
  </w:style>
  <w:style w:type="paragraph" w:styleId="807" w:customStyle="1">
    <w:name w:val="脚注文本11"/>
    <w:basedOn w:val="693"/>
    <w:uiPriority w:val="99"/>
    <w:unhideWhenUsed/>
    <w:qFormat/>
    <w:pPr>
      <w:spacing w:after="40"/>
    </w:pPr>
    <w:rPr>
      <w:sz w:val="18"/>
    </w:rPr>
  </w:style>
  <w:style w:type="paragraph" w:styleId="808" w:customStyle="1">
    <w:name w:val="目录 611"/>
    <w:basedOn w:val="693"/>
    <w:next w:val="693"/>
    <w:uiPriority w:val="39"/>
    <w:unhideWhenUsed/>
    <w:qFormat/>
    <w:pPr>
      <w:ind w:left="1417"/>
      <w:spacing w:after="57"/>
    </w:pPr>
  </w:style>
  <w:style w:type="paragraph" w:styleId="809" w:customStyle="1">
    <w:name w:val="图表目录11"/>
    <w:basedOn w:val="693"/>
    <w:next w:val="693"/>
    <w:uiPriority w:val="99"/>
    <w:unhideWhenUsed/>
    <w:qFormat/>
  </w:style>
  <w:style w:type="paragraph" w:styleId="810" w:customStyle="1">
    <w:name w:val="目录 211"/>
    <w:basedOn w:val="693"/>
    <w:next w:val="693"/>
    <w:uiPriority w:val="39"/>
    <w:unhideWhenUsed/>
    <w:qFormat/>
    <w:pPr>
      <w:ind w:left="283"/>
      <w:spacing w:after="57"/>
    </w:pPr>
  </w:style>
  <w:style w:type="paragraph" w:styleId="811" w:customStyle="1">
    <w:name w:val="目录 911"/>
    <w:basedOn w:val="693"/>
    <w:next w:val="693"/>
    <w:uiPriority w:val="39"/>
    <w:unhideWhenUsed/>
    <w:qFormat/>
    <w:pPr>
      <w:ind w:left="2268"/>
      <w:spacing w:after="57"/>
    </w:pPr>
  </w:style>
  <w:style w:type="paragraph" w:styleId="812" w:customStyle="1">
    <w:name w:val="普通(网站)11"/>
    <w:basedOn w:val="693"/>
    <w:uiPriority w:val="99"/>
    <w:unhideWhenUsed/>
    <w:qFormat/>
    <w:rPr>
      <w:sz w:val="24"/>
    </w:rPr>
  </w:style>
  <w:style w:type="paragraph" w:styleId="813" w:customStyle="1">
    <w:name w:val="标题11"/>
    <w:basedOn w:val="693"/>
    <w:next w:val="693"/>
    <w:uiPriority w:val="10"/>
    <w:qFormat/>
    <w:pPr>
      <w:contextualSpacing/>
      <w:spacing w:before="300" w:after="200"/>
    </w:pPr>
    <w:rPr>
      <w:sz w:val="48"/>
      <w:szCs w:val="48"/>
    </w:rPr>
  </w:style>
  <w:style w:type="table" w:styleId="814" w:customStyle="1">
    <w:name w:val="网格型11"/>
    <w:uiPriority w:val="59"/>
    <w:qFormat/>
    <w:tblPr/>
  </w:style>
  <w:style w:type="character" w:styleId="815" w:customStyle="1">
    <w:name w:val="尾注引用11"/>
    <w:link w:val="693"/>
    <w:uiPriority w:val="99"/>
    <w:unhideWhenUsed/>
    <w:qFormat/>
    <w:rPr>
      <w:vertAlign w:val="superscript"/>
    </w:rPr>
  </w:style>
  <w:style w:type="character" w:styleId="816" w:customStyle="1">
    <w:name w:val="超链接11"/>
    <w:link w:val="693"/>
    <w:uiPriority w:val="99"/>
    <w:unhideWhenUsed/>
    <w:qFormat/>
    <w:rPr>
      <w:color w:val="0000ff"/>
      <w:u w:val="single"/>
    </w:rPr>
  </w:style>
  <w:style w:type="character" w:styleId="817" w:customStyle="1">
    <w:name w:val="脚注引用11"/>
    <w:link w:val="693"/>
    <w:uiPriority w:val="99"/>
    <w:unhideWhenUsed/>
    <w:qFormat/>
    <w:rPr>
      <w:vertAlign w:val="superscript"/>
    </w:rPr>
  </w:style>
  <w:style w:type="paragraph" w:styleId="818" w:customStyle="1">
    <w:name w:val="正文缩进1"/>
    <w:basedOn w:val="693"/>
    <w:link w:val="819"/>
    <w:uiPriority w:val="0"/>
    <w:unhideWhenUsed/>
    <w:qFormat/>
    <w:pPr>
      <w:ind w:firstLine="420"/>
    </w:pPr>
    <w:rPr>
      <w:szCs w:val="24"/>
    </w:rPr>
  </w:style>
  <w:style w:type="character" w:styleId="819" w:customStyle="1">
    <w:name w:val="正文缩进 Char"/>
    <w:link w:val="818"/>
    <w:uiPriority w:val="0"/>
    <w:qFormat/>
    <w:rPr>
      <w:rFonts w:ascii="Times New Roman" w:hAnsi="Times New Roman"/>
      <w:sz w:val="21"/>
      <w:szCs w:val="24"/>
    </w:rPr>
  </w:style>
  <w:style w:type="paragraph" w:styleId="820" w:customStyle="1">
    <w:name w:val="标题 11"/>
    <w:basedOn w:val="693"/>
    <w:next w:val="693"/>
    <w:link w:val="821"/>
    <w:uiPriority w:val="99"/>
    <w:qFormat/>
    <w:pPr>
      <w:jc w:val="center"/>
      <w:keepNext/>
      <w:outlineLvl w:val="0"/>
    </w:pPr>
    <w:rPr>
      <w:rFonts w:ascii="楷体_GB2312" w:eastAsia="楷体_GB2312"/>
      <w:b/>
      <w:sz w:val="28"/>
    </w:rPr>
  </w:style>
  <w:style w:type="character" w:styleId="821" w:customStyle="1">
    <w:name w:val="标题 1 Char"/>
    <w:link w:val="820"/>
    <w:uiPriority w:val="99"/>
    <w:qFormat/>
    <w:rPr>
      <w:rFonts w:ascii="楷体_GB2312" w:hAnsi="Times New Roman" w:eastAsia="楷体_GB2312" w:cs="Times New Roman"/>
      <w:b/>
      <w:sz w:val="28"/>
      <w:szCs w:val="20"/>
    </w:rPr>
  </w:style>
  <w:style w:type="paragraph" w:styleId="822" w:customStyle="1">
    <w:name w:val="标题 21"/>
    <w:basedOn w:val="693"/>
    <w:next w:val="693"/>
    <w:link w:val="823"/>
    <w:uiPriority w:val="99"/>
    <w:qFormat/>
    <w:pPr>
      <w:jc w:val="center"/>
      <w:keepNext/>
      <w:outlineLvl w:val="1"/>
    </w:pPr>
    <w:rPr>
      <w:rFonts w:ascii="楷体_GB2312" w:eastAsia="楷体_GB2312"/>
      <w:b/>
      <w:bCs/>
      <w:sz w:val="18"/>
    </w:rPr>
  </w:style>
  <w:style w:type="character" w:styleId="823" w:customStyle="1">
    <w:name w:val="标题 2 Char"/>
    <w:link w:val="822"/>
    <w:uiPriority w:val="99"/>
    <w:qFormat/>
    <w:rPr>
      <w:rFonts w:ascii="楷体_GB2312" w:hAnsi="Times New Roman" w:eastAsia="楷体_GB2312" w:cs="Times New Roman"/>
      <w:b/>
      <w:bCs/>
      <w:sz w:val="18"/>
      <w:szCs w:val="20"/>
    </w:rPr>
  </w:style>
  <w:style w:type="paragraph" w:styleId="824" w:customStyle="1">
    <w:name w:val="标题 31"/>
    <w:basedOn w:val="693"/>
    <w:next w:val="693"/>
    <w:link w:val="825"/>
    <w:uiPriority w:val="99"/>
    <w:qFormat/>
    <w:pPr>
      <w:jc w:val="center"/>
      <w:keepNext/>
      <w:outlineLvl w:val="2"/>
    </w:pPr>
    <w:rPr>
      <w:rFonts w:eastAsia="楷体_GB2312"/>
      <w:b/>
      <w:bCs/>
      <w:sz w:val="15"/>
    </w:rPr>
  </w:style>
  <w:style w:type="character" w:styleId="825" w:customStyle="1">
    <w:name w:val="标题 3 Char"/>
    <w:link w:val="824"/>
    <w:uiPriority w:val="99"/>
    <w:qFormat/>
    <w:rPr>
      <w:rFonts w:ascii="Times New Roman" w:hAnsi="Times New Roman" w:eastAsia="楷体_GB2312" w:cs="Times New Roman"/>
      <w:b/>
      <w:bCs/>
      <w:sz w:val="15"/>
      <w:szCs w:val="20"/>
    </w:rPr>
  </w:style>
  <w:style w:type="paragraph" w:styleId="826" w:customStyle="1">
    <w:name w:val="标题 41"/>
    <w:basedOn w:val="693"/>
    <w:next w:val="693"/>
    <w:link w:val="827"/>
    <w:uiPriority w:val="99"/>
    <w:qFormat/>
    <w:pPr>
      <w:jc w:val="center"/>
      <w:keepNext/>
      <w:outlineLvl w:val="3"/>
    </w:pPr>
    <w:rPr>
      <w:rFonts w:eastAsia="楷体_GB2312"/>
      <w:b/>
      <w:bCs/>
      <w:sz w:val="13"/>
    </w:rPr>
  </w:style>
  <w:style w:type="character" w:styleId="827" w:customStyle="1">
    <w:name w:val="标题 4 Char"/>
    <w:link w:val="826"/>
    <w:uiPriority w:val="99"/>
    <w:qFormat/>
    <w:rPr>
      <w:rFonts w:ascii="Times New Roman" w:hAnsi="Times New Roman" w:eastAsia="楷体_GB2312" w:cs="Times New Roman"/>
      <w:b/>
      <w:bCs/>
      <w:sz w:val="13"/>
      <w:szCs w:val="20"/>
    </w:rPr>
  </w:style>
  <w:style w:type="paragraph" w:styleId="828" w:customStyle="1">
    <w:name w:val="标题 51"/>
    <w:basedOn w:val="693"/>
    <w:next w:val="693"/>
    <w:link w:val="829"/>
    <w:uiPriority w:val="99"/>
    <w:qFormat/>
    <w:pPr>
      <w:numPr>
        <w:ilvl w:val="0"/>
        <w:numId w:val="1"/>
      </w:numPr>
      <w:keepNext/>
      <w:outlineLvl w:val="4"/>
    </w:pPr>
    <w:rPr>
      <w:rFonts w:ascii="楷体_GB2312" w:eastAsia="楷体_GB2312"/>
      <w:bCs/>
      <w:sz w:val="28"/>
    </w:rPr>
  </w:style>
  <w:style w:type="character" w:styleId="829" w:customStyle="1">
    <w:name w:val="标题 5 Char"/>
    <w:link w:val="828"/>
    <w:uiPriority w:val="99"/>
    <w:qFormat/>
    <w:rPr>
      <w:rFonts w:ascii="楷体_GB2312" w:hAnsi="Times New Roman" w:eastAsia="楷体_GB2312" w:cs="Times New Roman"/>
      <w:bCs/>
      <w:sz w:val="28"/>
      <w:szCs w:val="20"/>
    </w:rPr>
  </w:style>
  <w:style w:type="character" w:styleId="830" w:customStyle="1">
    <w:name w:val="默认段落字体1"/>
    <w:link w:val="693"/>
    <w:uiPriority w:val="1"/>
    <w:unhideWhenUsed/>
    <w:qFormat/>
  </w:style>
  <w:style w:type="table" w:styleId="831" w:customStyle="1">
    <w:name w:val="普通表格1"/>
    <w:uiPriority w:val="99"/>
    <w:unhideWhenUsed/>
    <w:qFormat/>
    <w:tblPr/>
  </w:style>
  <w:style w:type="paragraph" w:styleId="832" w:customStyle="1">
    <w:name w:val="目录 71"/>
    <w:basedOn w:val="693"/>
    <w:next w:val="693"/>
    <w:uiPriority w:val="39"/>
    <w:unhideWhenUsed/>
    <w:qFormat/>
    <w:pPr>
      <w:ind w:left="1701"/>
      <w:spacing w:after="57"/>
    </w:pPr>
  </w:style>
  <w:style w:type="paragraph" w:styleId="833" w:customStyle="1">
    <w:name w:val="索引 51"/>
    <w:basedOn w:val="693"/>
    <w:next w:val="693"/>
    <w:uiPriority w:val="99"/>
    <w:unhideWhenUsed/>
    <w:qFormat/>
    <w:pPr>
      <w:ind w:left="800"/>
    </w:pPr>
  </w:style>
  <w:style w:type="paragraph" w:styleId="834" w:customStyle="1">
    <w:name w:val="文档结构图1"/>
    <w:basedOn w:val="693"/>
    <w:next w:val="693"/>
    <w:link w:val="835"/>
    <w:uiPriority w:val="99"/>
    <w:semiHidden/>
    <w:qFormat/>
    <w:pPr>
      <w:shd w:val="clear" w:color="auto" w:fill="000080"/>
    </w:pPr>
    <w:rPr>
      <w:sz w:val="20"/>
    </w:rPr>
  </w:style>
  <w:style w:type="character" w:styleId="835" w:customStyle="1">
    <w:name w:val="文档结构图 Char"/>
    <w:link w:val="834"/>
    <w:uiPriority w:val="99"/>
    <w:semiHidden/>
    <w:qFormat/>
    <w:rPr>
      <w:rFonts w:ascii="Times New Roman" w:hAnsi="Times New Roman" w:eastAsia="宋体" w:cs="Times New Roman"/>
      <w:szCs w:val="20"/>
      <w:shd w:val="clear" w:color="auto" w:fill="000080"/>
    </w:rPr>
  </w:style>
  <w:style w:type="paragraph" w:styleId="836" w:customStyle="1">
    <w:name w:val="批注文字1"/>
    <w:basedOn w:val="693"/>
    <w:link w:val="837"/>
    <w:uiPriority w:val="0"/>
    <w:semiHidden/>
    <w:qFormat/>
    <w:pPr>
      <w:jc w:val="left"/>
    </w:pPr>
    <w:rPr>
      <w:sz w:val="20"/>
      <w:szCs w:val="24"/>
    </w:rPr>
  </w:style>
  <w:style w:type="character" w:styleId="837" w:customStyle="1">
    <w:name w:val="批注文字 Char"/>
    <w:link w:val="836"/>
    <w:uiPriority w:val="0"/>
    <w:semiHidden/>
    <w:qFormat/>
    <w:rPr>
      <w:rFonts w:ascii="Times New Roman" w:hAnsi="Times New Roman" w:eastAsia="宋体" w:cs="Times New Roman"/>
      <w:szCs w:val="24"/>
    </w:rPr>
  </w:style>
  <w:style w:type="paragraph" w:styleId="838" w:customStyle="1">
    <w:name w:val="正文文本11"/>
    <w:basedOn w:val="693"/>
    <w:next w:val="839"/>
    <w:link w:val="840"/>
    <w:uiPriority w:val="99"/>
    <w:qFormat/>
    <w:rPr>
      <w:rFonts w:ascii="华文中宋" w:eastAsia="华文中宋"/>
      <w:bCs/>
      <w:sz w:val="28"/>
    </w:rPr>
  </w:style>
  <w:style w:type="paragraph" w:styleId="839" w:customStyle="1">
    <w:name w:val="列表1"/>
    <w:basedOn w:val="693"/>
    <w:uiPriority w:val="0"/>
    <w:qFormat/>
    <w:pPr>
      <w:numPr>
        <w:ilvl w:val="0"/>
        <w:numId w:val="2"/>
      </w:numPr>
      <w:spacing w:after="20" w:line="288" w:lineRule="auto"/>
    </w:pPr>
    <w:rPr>
      <w:lang w:val="en-GB"/>
    </w:rPr>
  </w:style>
  <w:style w:type="character" w:styleId="840" w:customStyle="1">
    <w:name w:val="正文文本 Char"/>
    <w:link w:val="838"/>
    <w:uiPriority w:val="99"/>
    <w:qFormat/>
    <w:rPr>
      <w:rFonts w:ascii="华文中宋" w:hAnsi="Times New Roman" w:eastAsia="华文中宋" w:cs="Times New Roman"/>
      <w:bCs/>
      <w:sz w:val="28"/>
      <w:szCs w:val="20"/>
    </w:rPr>
  </w:style>
  <w:style w:type="paragraph" w:styleId="841" w:customStyle="1">
    <w:name w:val="正文文本缩进1"/>
    <w:basedOn w:val="693"/>
    <w:next w:val="693"/>
    <w:link w:val="842"/>
    <w:uiPriority w:val="0"/>
    <w:qFormat/>
    <w:pPr>
      <w:ind w:firstLine="576"/>
    </w:pPr>
    <w:rPr>
      <w:b/>
      <w:sz w:val="30"/>
    </w:rPr>
  </w:style>
  <w:style w:type="character" w:styleId="842" w:customStyle="1">
    <w:name w:val="正文文本缩进 Char"/>
    <w:link w:val="841"/>
    <w:uiPriority w:val="0"/>
    <w:qFormat/>
    <w:rPr>
      <w:rFonts w:ascii="Times New Roman" w:hAnsi="Times New Roman" w:eastAsia="宋体" w:cs="Times New Roman"/>
      <w:b/>
      <w:sz w:val="30"/>
      <w:szCs w:val="20"/>
    </w:rPr>
  </w:style>
  <w:style w:type="paragraph" w:styleId="843" w:customStyle="1">
    <w:name w:val="目录 51"/>
    <w:basedOn w:val="693"/>
    <w:next w:val="693"/>
    <w:uiPriority w:val="39"/>
    <w:unhideWhenUsed/>
    <w:qFormat/>
    <w:pPr>
      <w:ind w:left="1134"/>
      <w:spacing w:after="57"/>
    </w:pPr>
  </w:style>
  <w:style w:type="paragraph" w:styleId="844" w:customStyle="1">
    <w:name w:val="目录 31"/>
    <w:basedOn w:val="693"/>
    <w:next w:val="693"/>
    <w:uiPriority w:val="39"/>
    <w:unhideWhenUsed/>
    <w:qFormat/>
    <w:pPr>
      <w:ind w:left="567"/>
      <w:spacing w:after="57"/>
    </w:pPr>
  </w:style>
  <w:style w:type="paragraph" w:styleId="845" w:customStyle="1">
    <w:name w:val="纯文本11"/>
    <w:basedOn w:val="693"/>
    <w:link w:val="846"/>
    <w:uiPriority w:val="0"/>
    <w:qFormat/>
    <w:rPr>
      <w:rFonts w:ascii="宋体" w:hAnsi="Courier New"/>
      <w:szCs w:val="21"/>
    </w:rPr>
  </w:style>
  <w:style w:type="character" w:styleId="846" w:customStyle="1">
    <w:name w:val="纯文本 Char"/>
    <w:link w:val="845"/>
    <w:uiPriority w:val="0"/>
    <w:qFormat/>
    <w:rPr>
      <w:rFonts w:ascii="宋体" w:hAnsi="Courier New"/>
      <w:sz w:val="21"/>
      <w:szCs w:val="21"/>
    </w:rPr>
  </w:style>
  <w:style w:type="paragraph" w:styleId="847" w:customStyle="1">
    <w:name w:val="目录 81"/>
    <w:basedOn w:val="693"/>
    <w:next w:val="693"/>
    <w:uiPriority w:val="39"/>
    <w:unhideWhenUsed/>
    <w:qFormat/>
    <w:pPr>
      <w:ind w:left="1984"/>
      <w:spacing w:after="57"/>
    </w:pPr>
  </w:style>
  <w:style w:type="paragraph" w:styleId="848" w:customStyle="1">
    <w:name w:val="日期1"/>
    <w:basedOn w:val="693"/>
    <w:next w:val="693"/>
    <w:link w:val="849"/>
    <w:uiPriority w:val="99"/>
    <w:qFormat/>
    <w:rPr>
      <w:rFonts w:eastAsia="黑体"/>
      <w:b/>
      <w:sz w:val="36"/>
    </w:rPr>
  </w:style>
  <w:style w:type="character" w:styleId="849" w:customStyle="1">
    <w:name w:val="日期 Char"/>
    <w:link w:val="848"/>
    <w:uiPriority w:val="99"/>
    <w:qFormat/>
    <w:rPr>
      <w:rFonts w:ascii="Times New Roman" w:hAnsi="Times New Roman" w:eastAsia="黑体" w:cs="Times New Roman"/>
      <w:b/>
      <w:sz w:val="36"/>
      <w:szCs w:val="20"/>
    </w:rPr>
  </w:style>
  <w:style w:type="paragraph" w:styleId="850" w:customStyle="1">
    <w:name w:val="正文文本缩进 21"/>
    <w:basedOn w:val="693"/>
    <w:link w:val="851"/>
    <w:uiPriority w:val="99"/>
    <w:qFormat/>
    <w:pPr>
      <w:ind w:left="900"/>
    </w:pPr>
    <w:rPr>
      <w:rFonts w:ascii="楷体_GB2312" w:eastAsia="楷体_GB2312"/>
      <w:b/>
      <w:sz w:val="28"/>
    </w:rPr>
  </w:style>
  <w:style w:type="character" w:styleId="851" w:customStyle="1">
    <w:name w:val="正文文本缩进 2 Char"/>
    <w:link w:val="850"/>
    <w:uiPriority w:val="99"/>
    <w:qFormat/>
    <w:rPr>
      <w:rFonts w:ascii="楷体_GB2312" w:hAnsi="Times New Roman" w:eastAsia="楷体_GB2312" w:cs="Times New Roman"/>
      <w:b/>
      <w:sz w:val="28"/>
      <w:szCs w:val="20"/>
    </w:rPr>
  </w:style>
  <w:style w:type="paragraph" w:styleId="852" w:customStyle="1">
    <w:name w:val="尾注文本1"/>
    <w:basedOn w:val="693"/>
    <w:link w:val="853"/>
    <w:uiPriority w:val="99"/>
    <w:unhideWhenUsed/>
    <w:qFormat/>
    <w:rPr>
      <w:sz w:val="20"/>
    </w:rPr>
  </w:style>
  <w:style w:type="character" w:styleId="853" w:customStyle="1">
    <w:name w:val="尾注文本 Char"/>
    <w:link w:val="852"/>
    <w:uiPriority w:val="99"/>
    <w:qFormat/>
    <w:rPr>
      <w:sz w:val="20"/>
    </w:rPr>
  </w:style>
  <w:style w:type="paragraph" w:styleId="854" w:customStyle="1">
    <w:name w:val="批注框文本1"/>
    <w:basedOn w:val="693"/>
    <w:link w:val="855"/>
    <w:uiPriority w:val="99"/>
    <w:unhideWhenUsed/>
    <w:qFormat/>
    <w:rPr>
      <w:sz w:val="18"/>
      <w:szCs w:val="18"/>
    </w:rPr>
  </w:style>
  <w:style w:type="character" w:styleId="855" w:customStyle="1">
    <w:name w:val="批注框文本 Char"/>
    <w:link w:val="854"/>
    <w:uiPriority w:val="99"/>
    <w:semiHidden/>
    <w:qFormat/>
    <w:rPr>
      <w:rFonts w:ascii="Times New Roman" w:hAnsi="Times New Roman" w:eastAsia="宋体" w:cs="Times New Roman"/>
      <w:sz w:val="18"/>
      <w:szCs w:val="18"/>
    </w:rPr>
  </w:style>
  <w:style w:type="paragraph" w:styleId="856" w:customStyle="1">
    <w:name w:val="页脚11"/>
    <w:basedOn w:val="693"/>
    <w:link w:val="857"/>
    <w:uiPriority w:val="99"/>
    <w:unhideWhenUsed/>
    <w:qFormat/>
    <w:pPr>
      <w:jc w:val="left"/>
      <w:tabs>
        <w:tab w:val="center" w:pos="4153" w:leader="none"/>
        <w:tab w:val="right" w:pos="8306" w:leader="none"/>
      </w:tabs>
    </w:pPr>
    <w:rPr>
      <w:sz w:val="18"/>
      <w:szCs w:val="18"/>
    </w:rPr>
  </w:style>
  <w:style w:type="character" w:styleId="857" w:customStyle="1">
    <w:name w:val="页脚 Char"/>
    <w:link w:val="856"/>
    <w:uiPriority w:val="99"/>
    <w:qFormat/>
    <w:rPr>
      <w:sz w:val="18"/>
      <w:szCs w:val="18"/>
    </w:rPr>
  </w:style>
  <w:style w:type="paragraph" w:styleId="858" w:customStyle="1">
    <w:name w:val="页眉1"/>
    <w:basedOn w:val="693"/>
    <w:link w:val="85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59" w:customStyle="1">
    <w:name w:val="页眉 Char"/>
    <w:link w:val="858"/>
    <w:uiPriority w:val="0"/>
    <w:qFormat/>
    <w:rPr>
      <w:sz w:val="18"/>
      <w:szCs w:val="18"/>
    </w:rPr>
  </w:style>
  <w:style w:type="paragraph" w:styleId="860" w:customStyle="1">
    <w:name w:val="目录 11"/>
    <w:basedOn w:val="693"/>
    <w:next w:val="693"/>
    <w:uiPriority w:val="39"/>
    <w:unhideWhenUsed/>
    <w:qFormat/>
    <w:pPr>
      <w:spacing w:after="57"/>
    </w:pPr>
  </w:style>
  <w:style w:type="paragraph" w:styleId="861" w:customStyle="1">
    <w:name w:val="目录 41"/>
    <w:basedOn w:val="693"/>
    <w:next w:val="693"/>
    <w:uiPriority w:val="39"/>
    <w:unhideWhenUsed/>
    <w:qFormat/>
    <w:pPr>
      <w:ind w:left="850"/>
      <w:spacing w:after="57"/>
    </w:pPr>
  </w:style>
  <w:style w:type="paragraph" w:styleId="862" w:customStyle="1">
    <w:name w:val="副标题1"/>
    <w:basedOn w:val="693"/>
    <w:next w:val="693"/>
    <w:link w:val="863"/>
    <w:uiPriority w:val="11"/>
    <w:qFormat/>
    <w:pPr>
      <w:spacing w:before="200" w:after="200"/>
    </w:pPr>
    <w:rPr>
      <w:sz w:val="24"/>
      <w:szCs w:val="24"/>
    </w:rPr>
  </w:style>
  <w:style w:type="character" w:styleId="863" w:customStyle="1">
    <w:name w:val="副标题 Char"/>
    <w:link w:val="862"/>
    <w:uiPriority w:val="11"/>
    <w:qFormat/>
    <w:rPr>
      <w:sz w:val="24"/>
      <w:szCs w:val="24"/>
    </w:rPr>
  </w:style>
  <w:style w:type="paragraph" w:styleId="864" w:customStyle="1">
    <w:name w:val="脚注文本1"/>
    <w:basedOn w:val="693"/>
    <w:next w:val="833"/>
    <w:link w:val="865"/>
    <w:uiPriority w:val="0"/>
    <w:qFormat/>
    <w:pPr>
      <w:ind w:firstLine="425"/>
      <w:jc w:val="left"/>
      <w:spacing w:before="120" w:line="360" w:lineRule="auto"/>
    </w:pPr>
    <w:rPr>
      <w:sz w:val="18"/>
    </w:rPr>
  </w:style>
  <w:style w:type="character" w:styleId="865" w:customStyle="1">
    <w:name w:val="脚注文本 Char"/>
    <w:link w:val="864"/>
    <w:uiPriority w:val="0"/>
    <w:qFormat/>
    <w:rPr>
      <w:rFonts w:ascii="Times New Roman" w:hAnsi="Times New Roman"/>
      <w:sz w:val="18"/>
    </w:rPr>
  </w:style>
  <w:style w:type="character" w:styleId="866" w:customStyle="1">
    <w:name w:val="Footnote Text Char"/>
    <w:link w:val="693"/>
    <w:uiPriority w:val="99"/>
    <w:qFormat/>
    <w:rPr>
      <w:sz w:val="18"/>
    </w:rPr>
  </w:style>
  <w:style w:type="paragraph" w:styleId="867" w:customStyle="1">
    <w:name w:val="目录 61"/>
    <w:basedOn w:val="693"/>
    <w:next w:val="693"/>
    <w:uiPriority w:val="39"/>
    <w:unhideWhenUsed/>
    <w:qFormat/>
    <w:pPr>
      <w:ind w:left="1417"/>
      <w:spacing w:after="57"/>
    </w:pPr>
  </w:style>
  <w:style w:type="paragraph" w:styleId="868" w:customStyle="1">
    <w:name w:val="正文文本缩进 31"/>
    <w:basedOn w:val="693"/>
    <w:link w:val="869"/>
    <w:uiPriority w:val="99"/>
    <w:qFormat/>
    <w:pPr>
      <w:ind w:left="359" w:firstLine="359"/>
    </w:pPr>
    <w:rPr>
      <w:sz w:val="20"/>
    </w:rPr>
  </w:style>
  <w:style w:type="character" w:styleId="869" w:customStyle="1">
    <w:name w:val="正文文本缩进 3 Char"/>
    <w:link w:val="868"/>
    <w:uiPriority w:val="99"/>
    <w:qFormat/>
    <w:rPr>
      <w:rFonts w:ascii="Times New Roman" w:hAnsi="Times New Roman" w:eastAsia="宋体" w:cs="Times New Roman"/>
      <w:szCs w:val="20"/>
    </w:rPr>
  </w:style>
  <w:style w:type="paragraph" w:styleId="870" w:customStyle="1">
    <w:name w:val="图表目录1"/>
    <w:basedOn w:val="693"/>
    <w:next w:val="693"/>
    <w:uiPriority w:val="99"/>
    <w:unhideWhenUsed/>
    <w:qFormat/>
  </w:style>
  <w:style w:type="paragraph" w:styleId="871" w:customStyle="1">
    <w:name w:val="目录 21"/>
    <w:basedOn w:val="693"/>
    <w:next w:val="693"/>
    <w:uiPriority w:val="39"/>
    <w:unhideWhenUsed/>
    <w:qFormat/>
    <w:pPr>
      <w:ind w:left="283"/>
      <w:spacing w:after="57"/>
    </w:pPr>
  </w:style>
  <w:style w:type="paragraph" w:styleId="872" w:customStyle="1">
    <w:name w:val="目录 91"/>
    <w:basedOn w:val="693"/>
    <w:next w:val="693"/>
    <w:uiPriority w:val="39"/>
    <w:unhideWhenUsed/>
    <w:qFormat/>
    <w:pPr>
      <w:ind w:left="2268"/>
      <w:spacing w:after="57"/>
    </w:pPr>
  </w:style>
  <w:style w:type="paragraph" w:styleId="873" w:customStyle="1">
    <w:name w:val="正文文本 21"/>
    <w:basedOn w:val="693"/>
    <w:link w:val="874"/>
    <w:uiPriority w:val="99"/>
    <w:qFormat/>
    <w:pPr>
      <w:spacing w:after="120" w:line="480" w:lineRule="auto"/>
    </w:pPr>
    <w:rPr>
      <w:sz w:val="20"/>
    </w:rPr>
  </w:style>
  <w:style w:type="character" w:styleId="874" w:customStyle="1">
    <w:name w:val="正文文本 2 Char"/>
    <w:link w:val="873"/>
    <w:uiPriority w:val="99"/>
    <w:qFormat/>
    <w:rPr>
      <w:rFonts w:ascii="Times New Roman" w:hAnsi="Times New Roman" w:eastAsia="宋体" w:cs="Times New Roman"/>
      <w:szCs w:val="20"/>
    </w:rPr>
  </w:style>
  <w:style w:type="paragraph" w:styleId="875" w:customStyle="1">
    <w:name w:val="普通(网站)1"/>
    <w:basedOn w:val="693"/>
    <w:link w:val="876"/>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76" w:customStyle="1">
    <w:name w:val="普通(网站) Char"/>
    <w:link w:val="875"/>
    <w:uiPriority w:val="0"/>
    <w:qFormat/>
    <w:rPr>
      <w:rFonts w:ascii="宋体" w:hAnsi="宋体"/>
      <w:sz w:val="24"/>
      <w:szCs w:val="24"/>
    </w:rPr>
  </w:style>
  <w:style w:type="paragraph" w:styleId="877" w:customStyle="1">
    <w:name w:val="标题1"/>
    <w:basedOn w:val="693"/>
    <w:next w:val="693"/>
    <w:link w:val="878"/>
    <w:uiPriority w:val="10"/>
    <w:qFormat/>
    <w:pPr>
      <w:contextualSpacing/>
      <w:spacing w:before="300" w:after="200"/>
    </w:pPr>
    <w:rPr>
      <w:sz w:val="48"/>
      <w:szCs w:val="48"/>
    </w:rPr>
  </w:style>
  <w:style w:type="character" w:styleId="878" w:customStyle="1">
    <w:name w:val="标题 Char"/>
    <w:link w:val="877"/>
    <w:uiPriority w:val="10"/>
    <w:qFormat/>
    <w:rPr>
      <w:sz w:val="48"/>
      <w:szCs w:val="48"/>
    </w:rPr>
  </w:style>
  <w:style w:type="paragraph" w:styleId="879" w:customStyle="1">
    <w:name w:val="批注主题1"/>
    <w:basedOn w:val="836"/>
    <w:next w:val="836"/>
    <w:link w:val="880"/>
    <w:uiPriority w:val="0"/>
    <w:semiHidden/>
    <w:qFormat/>
    <w:rPr>
      <w:b/>
      <w:bCs/>
    </w:rPr>
  </w:style>
  <w:style w:type="character" w:styleId="880" w:customStyle="1">
    <w:name w:val="批注主题 Char"/>
    <w:link w:val="879"/>
    <w:uiPriority w:val="0"/>
    <w:semiHidden/>
    <w:qFormat/>
    <w:rPr>
      <w:rFonts w:ascii="Times New Roman" w:hAnsi="Times New Roman" w:eastAsia="宋体" w:cs="Times New Roman"/>
      <w:b/>
      <w:bCs/>
      <w:szCs w:val="24"/>
    </w:rPr>
  </w:style>
  <w:style w:type="paragraph" w:styleId="881" w:customStyle="1">
    <w:name w:val="正文首行缩进1"/>
    <w:basedOn w:val="693"/>
    <w:link w:val="882"/>
    <w:uiPriority w:val="99"/>
    <w:unhideWhenUsed/>
    <w:qFormat/>
    <w:pPr>
      <w:ind w:firstLine="420"/>
      <w:spacing w:after="120"/>
    </w:pPr>
    <w:rPr>
      <w:rFonts w:eastAsia="华文中宋"/>
    </w:rPr>
  </w:style>
  <w:style w:type="character" w:styleId="882" w:customStyle="1">
    <w:name w:val="正文首行缩进 Char"/>
    <w:link w:val="881"/>
    <w:uiPriority w:val="99"/>
    <w:semiHidden/>
    <w:qFormat/>
    <w:rPr>
      <w:rFonts w:ascii="Times New Roman" w:hAnsi="Times New Roman" w:eastAsia="华文中宋" w:cs="Times New Roman"/>
      <w:sz w:val="21"/>
      <w:szCs w:val="20"/>
    </w:rPr>
  </w:style>
  <w:style w:type="paragraph" w:styleId="883" w:customStyle="1">
    <w:name w:val="正文首行缩进 21"/>
    <w:basedOn w:val="841"/>
    <w:uiPriority w:val="0"/>
    <w:qFormat/>
    <w:pPr>
      <w:ind w:left="420" w:firstLine="420"/>
      <w:spacing w:after="120"/>
    </w:pPr>
    <w:rPr>
      <w:rFonts w:ascii="Cambria" w:hAnsi="Cambria" w:eastAsia="华文细黑"/>
      <w:sz w:val="21"/>
    </w:rPr>
  </w:style>
  <w:style w:type="table" w:styleId="884" w:customStyle="1">
    <w:name w:val="网格型1"/>
    <w:uiPriority w:val="59"/>
    <w:qFormat/>
    <w:tblPr/>
  </w:style>
  <w:style w:type="character" w:styleId="885" w:customStyle="1">
    <w:name w:val="要点1"/>
    <w:link w:val="693"/>
    <w:uiPriority w:val="99"/>
    <w:qFormat/>
    <w:rPr>
      <w:rFonts w:cs="Times New Roman"/>
      <w:b/>
      <w:bCs/>
    </w:rPr>
  </w:style>
  <w:style w:type="character" w:styleId="886" w:customStyle="1">
    <w:name w:val="尾注引用1"/>
    <w:link w:val="693"/>
    <w:uiPriority w:val="99"/>
    <w:unhideWhenUsed/>
    <w:qFormat/>
    <w:rPr>
      <w:vertAlign w:val="superscript"/>
    </w:rPr>
  </w:style>
  <w:style w:type="character" w:styleId="887" w:customStyle="1">
    <w:name w:val="页码1"/>
    <w:link w:val="693"/>
    <w:uiPriority w:val="0"/>
    <w:qFormat/>
    <w:rPr>
      <w:rFonts w:cs="Times New Roman"/>
    </w:rPr>
  </w:style>
  <w:style w:type="character" w:styleId="888" w:customStyle="1">
    <w:name w:val="已访问的超链接1"/>
    <w:link w:val="693"/>
    <w:uiPriority w:val="99"/>
    <w:qFormat/>
    <w:rPr>
      <w:rFonts w:cs="Times New Roman"/>
      <w:color w:val="000000"/>
      <w:u w:val="none"/>
    </w:rPr>
  </w:style>
  <w:style w:type="character" w:styleId="889" w:customStyle="1">
    <w:name w:val="HTML 打字机1"/>
    <w:link w:val="693"/>
    <w:uiPriority w:val="99"/>
    <w:qFormat/>
    <w:rPr>
      <w:rFonts w:ascii="宋体" w:hAnsi="宋体" w:eastAsia="宋体" w:cs="宋体"/>
      <w:sz w:val="24"/>
      <w:szCs w:val="24"/>
    </w:rPr>
  </w:style>
  <w:style w:type="character" w:styleId="890" w:customStyle="1">
    <w:name w:val="超链接1"/>
    <w:link w:val="693"/>
    <w:uiPriority w:val="0"/>
    <w:qFormat/>
    <w:rPr>
      <w:color w:val="000000"/>
      <w:u w:val="none"/>
    </w:rPr>
  </w:style>
  <w:style w:type="character" w:styleId="891" w:customStyle="1">
    <w:name w:val="批注引用1"/>
    <w:link w:val="693"/>
    <w:uiPriority w:val="0"/>
    <w:unhideWhenUsed/>
    <w:qFormat/>
    <w:rPr>
      <w:sz w:val="21"/>
      <w:szCs w:val="21"/>
    </w:rPr>
  </w:style>
  <w:style w:type="character" w:styleId="892" w:customStyle="1">
    <w:name w:val="脚注引用1"/>
    <w:link w:val="693"/>
    <w:uiPriority w:val="99"/>
    <w:unhideWhenUsed/>
    <w:qFormat/>
    <w:rPr>
      <w:vertAlign w:val="superscript"/>
    </w:rPr>
  </w:style>
  <w:style w:type="character" w:styleId="893" w:customStyle="1">
    <w:name w:val="Title Char"/>
    <w:basedOn w:val="830"/>
    <w:link w:val="693"/>
    <w:uiPriority w:val="10"/>
    <w:qFormat/>
    <w:rPr>
      <w:sz w:val="48"/>
      <w:szCs w:val="48"/>
    </w:rPr>
  </w:style>
  <w:style w:type="character" w:styleId="894" w:customStyle="1">
    <w:name w:val="Subtitle Char"/>
    <w:basedOn w:val="830"/>
    <w:link w:val="693"/>
    <w:uiPriority w:val="11"/>
    <w:qFormat/>
    <w:rPr>
      <w:sz w:val="24"/>
      <w:szCs w:val="24"/>
    </w:rPr>
  </w:style>
  <w:style w:type="character" w:styleId="895" w:customStyle="1">
    <w:name w:val="Quote Char"/>
    <w:link w:val="693"/>
    <w:uiPriority w:val="29"/>
    <w:qFormat/>
    <w:rPr>
      <w:i/>
    </w:rPr>
  </w:style>
  <w:style w:type="character" w:styleId="896" w:customStyle="1">
    <w:name w:val="Intense Quote Char"/>
    <w:link w:val="693"/>
    <w:uiPriority w:val="30"/>
    <w:qFormat/>
    <w:rPr>
      <w:i/>
    </w:rPr>
  </w:style>
  <w:style w:type="character" w:styleId="897" w:customStyle="1">
    <w:name w:val="Endnote Text Char"/>
    <w:link w:val="693"/>
    <w:uiPriority w:val="99"/>
    <w:qFormat/>
    <w:rPr>
      <w:sz w:val="20"/>
    </w:rPr>
  </w:style>
  <w:style w:type="paragraph" w:styleId="898" w:customStyle="1">
    <w:name w:val="TOC 标题1"/>
    <w:uiPriority w:val="39"/>
    <w:unhideWhenUsed/>
    <w:qFormat/>
    <w:rPr>
      <w:rFonts w:hint="default" w:ascii="Times New Roman" w:hAnsi="Times New Roman" w:eastAsia="宋体" w:cs="Times New Roman"/>
      <w:lang w:val="en-US" w:eastAsia="zh-CN" w:bidi="ar-SA"/>
    </w:rPr>
  </w:style>
  <w:style w:type="paragraph" w:styleId="899" w:customStyle="1">
    <w:name w:val="正文文本1"/>
    <w:basedOn w:val="693"/>
    <w:uiPriority w:val="0"/>
    <w:qFormat/>
    <w:rPr>
      <w:rFonts w:ascii="华文中宋" w:eastAsia="华文中宋"/>
      <w:bCs/>
      <w:sz w:val="28"/>
    </w:rPr>
  </w:style>
  <w:style w:type="paragraph" w:styleId="900">
    <w:name w:val="No Spacing"/>
    <w:uiPriority w:val="1"/>
    <w:qFormat/>
    <w:rPr>
      <w:rFonts w:hint="default" w:ascii="Times New Roman" w:hAnsi="Times New Roman" w:eastAsia="宋体" w:cs="Times New Roman"/>
      <w:lang w:val="en-US" w:eastAsia="zh-CN" w:bidi="ar-SA"/>
    </w:rPr>
  </w:style>
  <w:style w:type="paragraph" w:styleId="901">
    <w:name w:val="Quote"/>
    <w:basedOn w:val="693"/>
    <w:next w:val="693"/>
    <w:link w:val="902"/>
    <w:uiPriority w:val="29"/>
    <w:qFormat/>
    <w:pPr>
      <w:ind w:left="720" w:right="720"/>
    </w:pPr>
    <w:rPr>
      <w:i/>
    </w:rPr>
  </w:style>
  <w:style w:type="character" w:styleId="902" w:customStyle="1">
    <w:name w:val="引用 Char"/>
    <w:link w:val="901"/>
    <w:uiPriority w:val="29"/>
    <w:qFormat/>
    <w:rPr>
      <w:i/>
    </w:rPr>
  </w:style>
  <w:style w:type="paragraph" w:styleId="903">
    <w:name w:val="Intense Quote"/>
    <w:basedOn w:val="693"/>
    <w:next w:val="693"/>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Char"/>
    <w:link w:val="903"/>
    <w:uiPriority w:val="30"/>
    <w:qFormat/>
    <w:rPr>
      <w:i/>
    </w:rPr>
  </w:style>
  <w:style w:type="paragraph" w:styleId="905" w:customStyle="1">
    <w:name w:val="Header1"/>
    <w:basedOn w:val="693"/>
    <w:link w:val="906"/>
    <w:uiPriority w:val="99"/>
    <w:unhideWhenUsed/>
    <w:qFormat/>
    <w:pPr>
      <w:tabs>
        <w:tab w:val="center" w:pos="7143" w:leader="none"/>
        <w:tab w:val="right" w:pos="14287" w:leader="none"/>
      </w:tabs>
    </w:pPr>
  </w:style>
  <w:style w:type="character" w:styleId="906" w:customStyle="1">
    <w:name w:val="Header Char"/>
    <w:link w:val="905"/>
    <w:uiPriority w:val="99"/>
    <w:qFormat/>
  </w:style>
  <w:style w:type="paragraph" w:styleId="907" w:customStyle="1">
    <w:name w:val="Footer1"/>
    <w:basedOn w:val="693"/>
    <w:link w:val="908"/>
    <w:uiPriority w:val="99"/>
    <w:unhideWhenUsed/>
    <w:qFormat/>
    <w:pPr>
      <w:tabs>
        <w:tab w:val="center" w:pos="7143" w:leader="none"/>
        <w:tab w:val="right" w:pos="14287" w:leader="none"/>
      </w:tabs>
    </w:pPr>
  </w:style>
  <w:style w:type="character" w:styleId="908" w:customStyle="1">
    <w:name w:val="Caption Char"/>
    <w:link w:val="907"/>
    <w:uiPriority w:val="99"/>
    <w:qFormat/>
  </w:style>
  <w:style w:type="character" w:styleId="909" w:customStyle="1">
    <w:name w:val="Footer Char"/>
    <w:link w:val="693"/>
    <w:uiPriority w:val="99"/>
    <w:qFormat/>
  </w:style>
  <w:style w:type="paragraph" w:styleId="910" w:customStyle="1">
    <w:name w:val="Caption1"/>
    <w:basedOn w:val="693"/>
    <w:next w:val="693"/>
    <w:uiPriority w:val="35"/>
    <w:unhideWhenUsed/>
    <w:qFormat/>
    <w:pPr>
      <w:spacing w:line="276" w:lineRule="auto"/>
    </w:pPr>
    <w:rPr>
      <w:b/>
      <w:bCs/>
      <w:color w:val="4f81bd"/>
      <w:sz w:val="18"/>
      <w:szCs w:val="18"/>
    </w:rPr>
  </w:style>
  <w:style w:type="table" w:styleId="911" w:customStyle="1">
    <w:name w:val="Table Grid Light"/>
    <w:uiPriority w:val="59"/>
    <w:qFormat/>
    <w:tblPr/>
  </w:style>
  <w:style w:type="table" w:styleId="912" w:customStyle="1">
    <w:name w:val="Plain Table 1"/>
    <w:uiPriority w:val="59"/>
    <w:qFormat/>
    <w:tblPr/>
  </w:style>
  <w:style w:type="table" w:styleId="913" w:customStyle="1">
    <w:name w:val="Plain Table 2"/>
    <w:uiPriority w:val="59"/>
    <w:qFormat/>
    <w:tblPr/>
  </w:style>
  <w:style w:type="table" w:styleId="914" w:customStyle="1">
    <w:name w:val="Plain Table 3"/>
    <w:uiPriority w:val="99"/>
    <w:qFormat/>
    <w:tblPr/>
  </w:style>
  <w:style w:type="table" w:styleId="915" w:customStyle="1">
    <w:name w:val="Plain Table 4"/>
    <w:uiPriority w:val="99"/>
    <w:qFormat/>
    <w:tblPr/>
  </w:style>
  <w:style w:type="table" w:styleId="916" w:customStyle="1">
    <w:name w:val="Plain Table 5"/>
    <w:uiPriority w:val="99"/>
    <w:qFormat/>
    <w:tblPr/>
  </w:style>
  <w:style w:type="table" w:styleId="917" w:customStyle="1">
    <w:name w:val="Grid Table 1 Light"/>
    <w:uiPriority w:val="99"/>
    <w:qFormat/>
    <w:tblPr/>
  </w:style>
  <w:style w:type="table" w:styleId="918" w:customStyle="1">
    <w:name w:val="Grid Table 1 Light - Accent 1"/>
    <w:uiPriority w:val="99"/>
    <w:qFormat/>
    <w:tblPr/>
  </w:style>
  <w:style w:type="table" w:styleId="919" w:customStyle="1">
    <w:name w:val="Grid Table 1 Light - Accent 2"/>
    <w:uiPriority w:val="99"/>
    <w:qFormat/>
    <w:tblPr/>
  </w:style>
  <w:style w:type="table" w:styleId="920" w:customStyle="1">
    <w:name w:val="Grid Table 1 Light - Accent 3"/>
    <w:uiPriority w:val="99"/>
    <w:qFormat/>
    <w:tblPr/>
  </w:style>
  <w:style w:type="table" w:styleId="921" w:customStyle="1">
    <w:name w:val="Grid Table 1 Light - Accent 4"/>
    <w:uiPriority w:val="99"/>
    <w:qFormat/>
    <w:tblPr/>
  </w:style>
  <w:style w:type="table" w:styleId="922" w:customStyle="1">
    <w:name w:val="Grid Table 1 Light - Accent 5"/>
    <w:uiPriority w:val="99"/>
    <w:qFormat/>
    <w:tblPr/>
  </w:style>
  <w:style w:type="table" w:styleId="923" w:customStyle="1">
    <w:name w:val="Grid Table 1 Light - Accent 6"/>
    <w:uiPriority w:val="99"/>
    <w:qFormat/>
    <w:tblPr/>
  </w:style>
  <w:style w:type="table" w:styleId="924" w:customStyle="1">
    <w:name w:val="Grid Table 2"/>
    <w:uiPriority w:val="99"/>
    <w:qFormat/>
    <w:tblPr/>
  </w:style>
  <w:style w:type="table" w:styleId="925" w:customStyle="1">
    <w:name w:val="Grid Table 2 - Accent 1"/>
    <w:uiPriority w:val="99"/>
    <w:qFormat/>
    <w:tblPr/>
  </w:style>
  <w:style w:type="table" w:styleId="926" w:customStyle="1">
    <w:name w:val="Grid Table 2 - Accent 2"/>
    <w:uiPriority w:val="99"/>
    <w:qFormat/>
    <w:tblPr/>
  </w:style>
  <w:style w:type="table" w:styleId="927" w:customStyle="1">
    <w:name w:val="Grid Table 2 - Accent 3"/>
    <w:uiPriority w:val="99"/>
    <w:qFormat/>
    <w:tblPr/>
  </w:style>
  <w:style w:type="table" w:styleId="928" w:customStyle="1">
    <w:name w:val="Grid Table 2 - Accent 4"/>
    <w:uiPriority w:val="99"/>
    <w:qFormat/>
    <w:tblPr/>
  </w:style>
  <w:style w:type="table" w:styleId="929" w:customStyle="1">
    <w:name w:val="Grid Table 2 - Accent 5"/>
    <w:uiPriority w:val="99"/>
    <w:qFormat/>
    <w:tblPr/>
  </w:style>
  <w:style w:type="table" w:styleId="930" w:customStyle="1">
    <w:name w:val="Grid Table 2 - Accent 6"/>
    <w:uiPriority w:val="99"/>
    <w:qFormat/>
    <w:tblPr/>
  </w:style>
  <w:style w:type="table" w:styleId="931" w:customStyle="1">
    <w:name w:val="Grid Table 3"/>
    <w:uiPriority w:val="99"/>
    <w:qFormat/>
    <w:tblPr/>
  </w:style>
  <w:style w:type="table" w:styleId="932" w:customStyle="1">
    <w:name w:val="Grid Table 3 - Accent 1"/>
    <w:uiPriority w:val="99"/>
    <w:qFormat/>
    <w:tblPr/>
  </w:style>
  <w:style w:type="table" w:styleId="933" w:customStyle="1">
    <w:name w:val="Grid Table 3 - Accent 2"/>
    <w:uiPriority w:val="99"/>
    <w:qFormat/>
    <w:tblPr/>
  </w:style>
  <w:style w:type="table" w:styleId="934" w:customStyle="1">
    <w:name w:val="Grid Table 3 - Accent 3"/>
    <w:uiPriority w:val="99"/>
    <w:qFormat/>
    <w:tblPr/>
  </w:style>
  <w:style w:type="table" w:styleId="935" w:customStyle="1">
    <w:name w:val="Grid Table 3 - Accent 4"/>
    <w:uiPriority w:val="99"/>
    <w:qFormat/>
    <w:tblPr/>
  </w:style>
  <w:style w:type="table" w:styleId="936" w:customStyle="1">
    <w:name w:val="Grid Table 3 - Accent 5"/>
    <w:uiPriority w:val="99"/>
    <w:qFormat/>
    <w:tblPr/>
  </w:style>
  <w:style w:type="table" w:styleId="937" w:customStyle="1">
    <w:name w:val="Grid Table 3 - Accent 6"/>
    <w:uiPriority w:val="99"/>
    <w:qFormat/>
    <w:tblPr/>
  </w:style>
  <w:style w:type="table" w:styleId="938" w:customStyle="1">
    <w:name w:val="Grid Table 4"/>
    <w:uiPriority w:val="59"/>
    <w:qFormat/>
    <w:tblPr/>
  </w:style>
  <w:style w:type="table" w:styleId="939" w:customStyle="1">
    <w:name w:val="Grid Table 4 - Accent 1"/>
    <w:uiPriority w:val="59"/>
    <w:qFormat/>
    <w:tblPr/>
  </w:style>
  <w:style w:type="table" w:styleId="940" w:customStyle="1">
    <w:name w:val="Grid Table 4 - Accent 2"/>
    <w:uiPriority w:val="59"/>
    <w:qFormat/>
    <w:tblPr/>
  </w:style>
  <w:style w:type="table" w:styleId="941" w:customStyle="1">
    <w:name w:val="Grid Table 4 - Accent 3"/>
    <w:uiPriority w:val="59"/>
    <w:qFormat/>
    <w:tblPr/>
  </w:style>
  <w:style w:type="table" w:styleId="942" w:customStyle="1">
    <w:name w:val="Grid Table 4 - Accent 4"/>
    <w:uiPriority w:val="59"/>
    <w:qFormat/>
    <w:tblPr/>
  </w:style>
  <w:style w:type="table" w:styleId="943" w:customStyle="1">
    <w:name w:val="Grid Table 4 - Accent 5"/>
    <w:uiPriority w:val="59"/>
    <w:qFormat/>
    <w:tblPr/>
  </w:style>
  <w:style w:type="table" w:styleId="944" w:customStyle="1">
    <w:name w:val="Grid Table 4 - Accent 6"/>
    <w:uiPriority w:val="59"/>
    <w:qFormat/>
    <w:tblPr/>
  </w:style>
  <w:style w:type="table" w:styleId="945" w:customStyle="1">
    <w:name w:val="Grid Table 5 Dark"/>
    <w:uiPriority w:val="99"/>
    <w:qFormat/>
    <w:tblPr/>
  </w:style>
  <w:style w:type="table" w:styleId="946" w:customStyle="1">
    <w:name w:val="Grid Table 5 Dark- Accent 1"/>
    <w:uiPriority w:val="99"/>
    <w:qFormat/>
    <w:tblPr/>
  </w:style>
  <w:style w:type="table" w:styleId="947" w:customStyle="1">
    <w:name w:val="Grid Table 5 Dark - Accent 2"/>
    <w:uiPriority w:val="99"/>
    <w:qFormat/>
    <w:tblPr/>
  </w:style>
  <w:style w:type="table" w:styleId="948" w:customStyle="1">
    <w:name w:val="Grid Table 5 Dark - Accent 3"/>
    <w:uiPriority w:val="99"/>
    <w:qFormat/>
    <w:tblPr/>
  </w:style>
  <w:style w:type="table" w:styleId="949" w:customStyle="1">
    <w:name w:val="Grid Table 5 Dark- Accent 4"/>
    <w:uiPriority w:val="99"/>
    <w:qFormat/>
    <w:tblPr/>
  </w:style>
  <w:style w:type="table" w:styleId="950" w:customStyle="1">
    <w:name w:val="Grid Table 5 Dark - Accent 5"/>
    <w:uiPriority w:val="99"/>
    <w:qFormat/>
    <w:tblPr/>
  </w:style>
  <w:style w:type="table" w:styleId="951" w:customStyle="1">
    <w:name w:val="Grid Table 5 Dark - Accent 6"/>
    <w:uiPriority w:val="99"/>
    <w:qFormat/>
    <w:tblPr/>
  </w:style>
  <w:style w:type="table" w:styleId="952" w:customStyle="1">
    <w:name w:val="Grid Table 6 Colorful"/>
    <w:uiPriority w:val="99"/>
    <w:qFormat/>
    <w:tblPr/>
  </w:style>
  <w:style w:type="table" w:styleId="953" w:customStyle="1">
    <w:name w:val="Grid Table 6 Colorful - Accent 1"/>
    <w:uiPriority w:val="99"/>
    <w:qFormat/>
    <w:tblPr/>
  </w:style>
  <w:style w:type="table" w:styleId="954" w:customStyle="1">
    <w:name w:val="Grid Table 6 Colorful - Accent 2"/>
    <w:uiPriority w:val="99"/>
    <w:qFormat/>
    <w:tblPr/>
  </w:style>
  <w:style w:type="table" w:styleId="955" w:customStyle="1">
    <w:name w:val="Grid Table 6 Colorful - Accent 3"/>
    <w:uiPriority w:val="99"/>
    <w:qFormat/>
    <w:tblPr/>
  </w:style>
  <w:style w:type="table" w:styleId="956" w:customStyle="1">
    <w:name w:val="Grid Table 6 Colorful - Accent 4"/>
    <w:uiPriority w:val="99"/>
    <w:qFormat/>
    <w:tblPr/>
  </w:style>
  <w:style w:type="table" w:styleId="957" w:customStyle="1">
    <w:name w:val="Grid Table 6 Colorful - Accent 5"/>
    <w:uiPriority w:val="99"/>
    <w:qFormat/>
    <w:tblPr/>
  </w:style>
  <w:style w:type="table" w:styleId="958" w:customStyle="1">
    <w:name w:val="Grid Table 6 Colorful - Accent 6"/>
    <w:uiPriority w:val="99"/>
    <w:qFormat/>
    <w:tblPr/>
  </w:style>
  <w:style w:type="table" w:styleId="959" w:customStyle="1">
    <w:name w:val="Grid Table 7 Colorful"/>
    <w:uiPriority w:val="99"/>
    <w:qFormat/>
    <w:tblPr/>
  </w:style>
  <w:style w:type="table" w:styleId="960" w:customStyle="1">
    <w:name w:val="Grid Table 7 Colorful - Accent 1"/>
    <w:uiPriority w:val="99"/>
    <w:qFormat/>
    <w:tblPr/>
  </w:style>
  <w:style w:type="table" w:styleId="961" w:customStyle="1">
    <w:name w:val="Grid Table 7 Colorful - Accent 2"/>
    <w:uiPriority w:val="99"/>
    <w:qFormat/>
    <w:tblPr/>
  </w:style>
  <w:style w:type="table" w:styleId="962" w:customStyle="1">
    <w:name w:val="Grid Table 7 Colorful - Accent 3"/>
    <w:uiPriority w:val="99"/>
    <w:qFormat/>
    <w:tblPr/>
  </w:style>
  <w:style w:type="table" w:styleId="963" w:customStyle="1">
    <w:name w:val="Grid Table 7 Colorful - Accent 4"/>
    <w:uiPriority w:val="99"/>
    <w:qFormat/>
    <w:tblPr/>
  </w:style>
  <w:style w:type="table" w:styleId="964" w:customStyle="1">
    <w:name w:val="Grid Table 7 Colorful - Accent 5"/>
    <w:uiPriority w:val="99"/>
    <w:qFormat/>
    <w:tblPr/>
  </w:style>
  <w:style w:type="table" w:styleId="965" w:customStyle="1">
    <w:name w:val="Grid Table 7 Colorful - Accent 6"/>
    <w:uiPriority w:val="99"/>
    <w:qFormat/>
    <w:tblPr/>
  </w:style>
  <w:style w:type="table" w:styleId="966" w:customStyle="1">
    <w:name w:val="List Table 1 Light"/>
    <w:uiPriority w:val="99"/>
    <w:qFormat/>
    <w:tblPr/>
  </w:style>
  <w:style w:type="table" w:styleId="967" w:customStyle="1">
    <w:name w:val="List Table 1 Light - Accent 1"/>
    <w:uiPriority w:val="99"/>
    <w:qFormat/>
    <w:tblPr/>
  </w:style>
  <w:style w:type="table" w:styleId="968" w:customStyle="1">
    <w:name w:val="List Table 1 Light - Accent 2"/>
    <w:uiPriority w:val="99"/>
    <w:qFormat/>
    <w:tblPr/>
  </w:style>
  <w:style w:type="table" w:styleId="969" w:customStyle="1">
    <w:name w:val="List Table 1 Light - Accent 3"/>
    <w:uiPriority w:val="99"/>
    <w:qFormat/>
    <w:tblPr/>
  </w:style>
  <w:style w:type="table" w:styleId="970" w:customStyle="1">
    <w:name w:val="List Table 1 Light - Accent 4"/>
    <w:uiPriority w:val="99"/>
    <w:qFormat/>
    <w:tblPr/>
  </w:style>
  <w:style w:type="table" w:styleId="971" w:customStyle="1">
    <w:name w:val="List Table 1 Light - Accent 5"/>
    <w:uiPriority w:val="99"/>
    <w:qFormat/>
    <w:tblPr/>
  </w:style>
  <w:style w:type="table" w:styleId="972" w:customStyle="1">
    <w:name w:val="List Table 1 Light - Accent 6"/>
    <w:uiPriority w:val="99"/>
    <w:qFormat/>
    <w:tblPr/>
  </w:style>
  <w:style w:type="table" w:styleId="973" w:customStyle="1">
    <w:name w:val="List Table 2"/>
    <w:uiPriority w:val="99"/>
    <w:qFormat/>
    <w:tblPr/>
  </w:style>
  <w:style w:type="table" w:styleId="974" w:customStyle="1">
    <w:name w:val="List Table 2 - Accent 1"/>
    <w:uiPriority w:val="99"/>
    <w:qFormat/>
    <w:tblPr/>
  </w:style>
  <w:style w:type="table" w:styleId="975" w:customStyle="1">
    <w:name w:val="List Table 2 - Accent 2"/>
    <w:uiPriority w:val="99"/>
    <w:qFormat/>
    <w:tblPr/>
  </w:style>
  <w:style w:type="table" w:styleId="976" w:customStyle="1">
    <w:name w:val="List Table 2 - Accent 3"/>
    <w:uiPriority w:val="99"/>
    <w:qFormat/>
    <w:tblPr/>
  </w:style>
  <w:style w:type="table" w:styleId="977" w:customStyle="1">
    <w:name w:val="List Table 2 - Accent 4"/>
    <w:uiPriority w:val="99"/>
    <w:qFormat/>
    <w:tblPr/>
  </w:style>
  <w:style w:type="table" w:styleId="978" w:customStyle="1">
    <w:name w:val="List Table 2 - Accent 5"/>
    <w:uiPriority w:val="99"/>
    <w:qFormat/>
    <w:tblPr/>
  </w:style>
  <w:style w:type="table" w:styleId="979" w:customStyle="1">
    <w:name w:val="List Table 2 - Accent 6"/>
    <w:uiPriority w:val="99"/>
    <w:qFormat/>
    <w:tblPr/>
  </w:style>
  <w:style w:type="table" w:styleId="980" w:customStyle="1">
    <w:name w:val="List Table 3"/>
    <w:uiPriority w:val="99"/>
    <w:qFormat/>
    <w:tblPr/>
  </w:style>
  <w:style w:type="table" w:styleId="981" w:customStyle="1">
    <w:name w:val="List Table 3 - Accent 1"/>
    <w:uiPriority w:val="99"/>
    <w:qFormat/>
    <w:tblPr/>
  </w:style>
  <w:style w:type="table" w:styleId="982" w:customStyle="1">
    <w:name w:val="List Table 3 - Accent 2"/>
    <w:uiPriority w:val="99"/>
    <w:qFormat/>
    <w:tblPr/>
  </w:style>
  <w:style w:type="table" w:styleId="983" w:customStyle="1">
    <w:name w:val="List Table 3 - Accent 3"/>
    <w:uiPriority w:val="99"/>
    <w:qFormat/>
    <w:tblPr/>
  </w:style>
  <w:style w:type="table" w:styleId="984" w:customStyle="1">
    <w:name w:val="List Table 3 - Accent 4"/>
    <w:uiPriority w:val="99"/>
    <w:qFormat/>
    <w:tblPr/>
  </w:style>
  <w:style w:type="table" w:styleId="985" w:customStyle="1">
    <w:name w:val="List Table 3 - Accent 5"/>
    <w:uiPriority w:val="99"/>
    <w:qFormat/>
    <w:tblPr/>
  </w:style>
  <w:style w:type="table" w:styleId="986" w:customStyle="1">
    <w:name w:val="List Table 3 - Accent 6"/>
    <w:uiPriority w:val="99"/>
    <w:qFormat/>
    <w:tblPr/>
  </w:style>
  <w:style w:type="table" w:styleId="987" w:customStyle="1">
    <w:name w:val="List Table 4"/>
    <w:uiPriority w:val="99"/>
    <w:qFormat/>
    <w:tblPr/>
  </w:style>
  <w:style w:type="table" w:styleId="988" w:customStyle="1">
    <w:name w:val="List Table 4 - Accent 1"/>
    <w:uiPriority w:val="99"/>
    <w:qFormat/>
    <w:tblPr/>
  </w:style>
  <w:style w:type="table" w:styleId="989" w:customStyle="1">
    <w:name w:val="List Table 4 - Accent 2"/>
    <w:uiPriority w:val="99"/>
    <w:qFormat/>
    <w:tblPr/>
  </w:style>
  <w:style w:type="table" w:styleId="990" w:customStyle="1">
    <w:name w:val="List Table 4 - Accent 3"/>
    <w:uiPriority w:val="99"/>
    <w:qFormat/>
    <w:tblPr/>
  </w:style>
  <w:style w:type="table" w:styleId="991" w:customStyle="1">
    <w:name w:val="List Table 4 - Accent 4"/>
    <w:uiPriority w:val="99"/>
    <w:qFormat/>
    <w:tblPr/>
  </w:style>
  <w:style w:type="table" w:styleId="992" w:customStyle="1">
    <w:name w:val="List Table 4 - Accent 5"/>
    <w:uiPriority w:val="99"/>
    <w:qFormat/>
    <w:tblPr/>
  </w:style>
  <w:style w:type="table" w:styleId="993" w:customStyle="1">
    <w:name w:val="List Table 4 - Accent 6"/>
    <w:uiPriority w:val="99"/>
    <w:qFormat/>
    <w:tblPr/>
  </w:style>
  <w:style w:type="table" w:styleId="994" w:customStyle="1">
    <w:name w:val="List Table 5 Dark"/>
    <w:uiPriority w:val="99"/>
    <w:qFormat/>
    <w:tblPr/>
  </w:style>
  <w:style w:type="table" w:styleId="995" w:customStyle="1">
    <w:name w:val="List Table 5 Dark - Accent 1"/>
    <w:uiPriority w:val="99"/>
    <w:qFormat/>
    <w:tblPr/>
  </w:style>
  <w:style w:type="table" w:styleId="996" w:customStyle="1">
    <w:name w:val="List Table 5 Dark - Accent 2"/>
    <w:uiPriority w:val="99"/>
    <w:qFormat/>
    <w:tblPr/>
  </w:style>
  <w:style w:type="table" w:styleId="997" w:customStyle="1">
    <w:name w:val="List Table 5 Dark - Accent 3"/>
    <w:uiPriority w:val="99"/>
    <w:qFormat/>
    <w:tblPr/>
  </w:style>
  <w:style w:type="table" w:styleId="998" w:customStyle="1">
    <w:name w:val="List Table 5 Dark - Accent 4"/>
    <w:uiPriority w:val="99"/>
    <w:qFormat/>
    <w:tblPr/>
  </w:style>
  <w:style w:type="table" w:styleId="999" w:customStyle="1">
    <w:name w:val="List Table 5 Dark - Accent 5"/>
    <w:uiPriority w:val="99"/>
    <w:qFormat/>
    <w:tblPr/>
  </w:style>
  <w:style w:type="table" w:styleId="1000" w:customStyle="1">
    <w:name w:val="List Table 5 Dark - Accent 6"/>
    <w:uiPriority w:val="99"/>
    <w:qFormat/>
    <w:tblPr/>
  </w:style>
  <w:style w:type="table" w:styleId="1001" w:customStyle="1">
    <w:name w:val="List Table 6 Colorful"/>
    <w:uiPriority w:val="99"/>
    <w:qFormat/>
    <w:tblPr/>
  </w:style>
  <w:style w:type="table" w:styleId="1002" w:customStyle="1">
    <w:name w:val="List Table 6 Colorful - Accent 1"/>
    <w:uiPriority w:val="99"/>
    <w:qFormat/>
    <w:tblPr/>
  </w:style>
  <w:style w:type="table" w:styleId="1003" w:customStyle="1">
    <w:name w:val="List Table 6 Colorful - Accent 2"/>
    <w:uiPriority w:val="99"/>
    <w:qFormat/>
    <w:tblPr/>
  </w:style>
  <w:style w:type="table" w:styleId="1004" w:customStyle="1">
    <w:name w:val="List Table 6 Colorful - Accent 3"/>
    <w:uiPriority w:val="99"/>
    <w:qFormat/>
    <w:tblPr/>
  </w:style>
  <w:style w:type="table" w:styleId="1005" w:customStyle="1">
    <w:name w:val="List Table 6 Colorful - Accent 4"/>
    <w:uiPriority w:val="99"/>
    <w:qFormat/>
    <w:tblPr/>
  </w:style>
  <w:style w:type="table" w:styleId="1006" w:customStyle="1">
    <w:name w:val="List Table 6 Colorful - Accent 5"/>
    <w:uiPriority w:val="99"/>
    <w:qFormat/>
    <w:tblPr/>
  </w:style>
  <w:style w:type="table" w:styleId="1007" w:customStyle="1">
    <w:name w:val="List Table 6 Colorful - Accent 6"/>
    <w:uiPriority w:val="99"/>
    <w:qFormat/>
    <w:tblPr/>
  </w:style>
  <w:style w:type="table" w:styleId="1008" w:customStyle="1">
    <w:name w:val="List Table 7 Colorful"/>
    <w:uiPriority w:val="99"/>
    <w:qFormat/>
    <w:tblPr/>
  </w:style>
  <w:style w:type="table" w:styleId="1009" w:customStyle="1">
    <w:name w:val="List Table 7 Colorful - Accent 1"/>
    <w:uiPriority w:val="99"/>
    <w:qFormat/>
    <w:tblPr/>
  </w:style>
  <w:style w:type="table" w:styleId="1010" w:customStyle="1">
    <w:name w:val="List Table 7 Colorful - Accent 2"/>
    <w:uiPriority w:val="99"/>
    <w:qFormat/>
    <w:tblPr/>
  </w:style>
  <w:style w:type="table" w:styleId="1011" w:customStyle="1">
    <w:name w:val="List Table 7 Colorful - Accent 3"/>
    <w:uiPriority w:val="99"/>
    <w:qFormat/>
    <w:tblPr/>
  </w:style>
  <w:style w:type="table" w:styleId="1012" w:customStyle="1">
    <w:name w:val="List Table 7 Colorful - Accent 4"/>
    <w:uiPriority w:val="99"/>
    <w:qFormat/>
    <w:tblPr/>
  </w:style>
  <w:style w:type="table" w:styleId="1013" w:customStyle="1">
    <w:name w:val="List Table 7 Colorful - Accent 5"/>
    <w:uiPriority w:val="99"/>
    <w:qFormat/>
    <w:tblPr/>
  </w:style>
  <w:style w:type="table" w:styleId="1014" w:customStyle="1">
    <w:name w:val="List Table 7 Colorful - Accent 6"/>
    <w:uiPriority w:val="99"/>
    <w:qFormat/>
    <w:tblPr/>
  </w:style>
  <w:style w:type="table" w:styleId="1015" w:customStyle="1">
    <w:name w:val="Lined - Accent"/>
    <w:uiPriority w:val="99"/>
    <w:qFormat/>
    <w:rPr>
      <w:color w:val="404040"/>
    </w:rPr>
    <w:tblPr/>
  </w:style>
  <w:style w:type="table" w:styleId="1016" w:customStyle="1">
    <w:name w:val="Lined - Accent 1"/>
    <w:uiPriority w:val="99"/>
    <w:qFormat/>
    <w:rPr>
      <w:color w:val="404040"/>
    </w:rPr>
    <w:tblPr/>
  </w:style>
  <w:style w:type="table" w:styleId="1017" w:customStyle="1">
    <w:name w:val="Lined - Accent 2"/>
    <w:uiPriority w:val="99"/>
    <w:qFormat/>
    <w:rPr>
      <w:color w:val="404040"/>
    </w:rPr>
    <w:tblPr/>
  </w:style>
  <w:style w:type="table" w:styleId="1018" w:customStyle="1">
    <w:name w:val="Lined - Accent 3"/>
    <w:uiPriority w:val="99"/>
    <w:qFormat/>
    <w:rPr>
      <w:color w:val="404040"/>
    </w:rPr>
    <w:tblPr/>
  </w:style>
  <w:style w:type="table" w:styleId="1019" w:customStyle="1">
    <w:name w:val="Lined - Accent 4"/>
    <w:uiPriority w:val="99"/>
    <w:qFormat/>
    <w:rPr>
      <w:color w:val="404040"/>
    </w:rPr>
    <w:tblPr/>
  </w:style>
  <w:style w:type="table" w:styleId="1020" w:customStyle="1">
    <w:name w:val="Lined - Accent 5"/>
    <w:uiPriority w:val="99"/>
    <w:qFormat/>
    <w:rPr>
      <w:color w:val="404040"/>
    </w:rPr>
    <w:tblPr/>
  </w:style>
  <w:style w:type="table" w:styleId="1021" w:customStyle="1">
    <w:name w:val="Lined - Accent 6"/>
    <w:uiPriority w:val="99"/>
    <w:qFormat/>
    <w:rPr>
      <w:color w:val="404040"/>
    </w:rPr>
    <w:tblPr/>
  </w:style>
  <w:style w:type="table" w:styleId="1022" w:customStyle="1">
    <w:name w:val="Bordered &amp; Lined - Accent"/>
    <w:uiPriority w:val="99"/>
    <w:qFormat/>
    <w:rPr>
      <w:color w:val="404040"/>
    </w:rPr>
    <w:tblPr/>
  </w:style>
  <w:style w:type="table" w:styleId="1023" w:customStyle="1">
    <w:name w:val="Bordered &amp; Lined - Accent 1"/>
    <w:uiPriority w:val="99"/>
    <w:qFormat/>
    <w:rPr>
      <w:color w:val="404040"/>
    </w:rPr>
    <w:tblPr/>
  </w:style>
  <w:style w:type="table" w:styleId="1024" w:customStyle="1">
    <w:name w:val="Bordered &amp; Lined - Accent 2"/>
    <w:uiPriority w:val="99"/>
    <w:qFormat/>
    <w:rPr>
      <w:color w:val="404040"/>
    </w:rPr>
    <w:tblPr/>
  </w:style>
  <w:style w:type="table" w:styleId="1025" w:customStyle="1">
    <w:name w:val="Bordered &amp; Lined - Accent 3"/>
    <w:uiPriority w:val="99"/>
    <w:qFormat/>
    <w:rPr>
      <w:color w:val="404040"/>
    </w:rPr>
    <w:tblPr/>
  </w:style>
  <w:style w:type="table" w:styleId="1026" w:customStyle="1">
    <w:name w:val="Bordered &amp; Lined - Accent 4"/>
    <w:uiPriority w:val="99"/>
    <w:qFormat/>
    <w:rPr>
      <w:color w:val="404040"/>
    </w:rPr>
    <w:tblPr/>
  </w:style>
  <w:style w:type="table" w:styleId="1027" w:customStyle="1">
    <w:name w:val="Bordered &amp; Lined - Accent 5"/>
    <w:uiPriority w:val="99"/>
    <w:qFormat/>
    <w:rPr>
      <w:color w:val="404040"/>
    </w:rPr>
    <w:tblPr/>
  </w:style>
  <w:style w:type="table" w:styleId="1028" w:customStyle="1">
    <w:name w:val="Bordered &amp; Lined - Accent 6"/>
    <w:uiPriority w:val="99"/>
    <w:qFormat/>
    <w:rPr>
      <w:color w:val="404040"/>
    </w:rPr>
    <w:tblPr/>
  </w:style>
  <w:style w:type="table" w:styleId="1029" w:customStyle="1">
    <w:name w:val="Bordered"/>
    <w:uiPriority w:val="99"/>
    <w:qFormat/>
    <w:tblPr/>
  </w:style>
  <w:style w:type="table" w:styleId="1030" w:customStyle="1">
    <w:name w:val="Bordered - Accent 1"/>
    <w:uiPriority w:val="99"/>
    <w:qFormat/>
    <w:tblPr/>
  </w:style>
  <w:style w:type="table" w:styleId="1031" w:customStyle="1">
    <w:name w:val="Bordered - Accent 2"/>
    <w:uiPriority w:val="99"/>
    <w:qFormat/>
    <w:tblPr/>
  </w:style>
  <w:style w:type="table" w:styleId="1032" w:customStyle="1">
    <w:name w:val="Bordered - Accent 3"/>
    <w:uiPriority w:val="99"/>
    <w:qFormat/>
    <w:tblPr/>
  </w:style>
  <w:style w:type="table" w:styleId="1033" w:customStyle="1">
    <w:name w:val="Bordered - Accent 4"/>
    <w:uiPriority w:val="99"/>
    <w:qFormat/>
    <w:tblPr/>
  </w:style>
  <w:style w:type="table" w:styleId="1034" w:customStyle="1">
    <w:name w:val="Bordered - Accent 5"/>
    <w:uiPriority w:val="99"/>
    <w:qFormat/>
    <w:tblPr/>
  </w:style>
  <w:style w:type="table" w:styleId="1035" w:customStyle="1">
    <w:name w:val="Bordered - Accent 6"/>
    <w:uiPriority w:val="99"/>
    <w:qFormat/>
    <w:tblPr/>
  </w:style>
  <w:style w:type="paragraph" w:styleId="1036" w:customStyle="1">
    <w:name w:val="TOC 标题11"/>
    <w:uiPriority w:val="39"/>
    <w:unhideWhenUsed/>
    <w:qFormat/>
    <w:rPr>
      <w:rFonts w:hint="default" w:ascii="Times New Roman" w:hAnsi="Times New Roman" w:eastAsia="宋体" w:cs="Times New Roman"/>
      <w:lang w:val="en-US" w:eastAsia="zh-CN" w:bidi="ar-SA"/>
    </w:rPr>
  </w:style>
  <w:style w:type="character" w:styleId="1037" w:customStyle="1">
    <w:name w:val="批注框文本 Char1"/>
    <w:link w:val="693"/>
    <w:uiPriority w:val="99"/>
    <w:semiHidden/>
    <w:qFormat/>
    <w:rPr>
      <w:rFonts w:ascii="Times New Roman" w:hAnsi="Times New Roman" w:eastAsia="宋体" w:cs="Times New Roman"/>
      <w:sz w:val="18"/>
      <w:szCs w:val="18"/>
    </w:rPr>
  </w:style>
  <w:style w:type="character" w:styleId="1038" w:customStyle="1">
    <w:name w:val="正文文本 2 Char1"/>
    <w:link w:val="693"/>
    <w:uiPriority w:val="99"/>
    <w:semiHidden/>
    <w:qFormat/>
    <w:rPr>
      <w:rFonts w:ascii="Times New Roman" w:hAnsi="Times New Roman" w:eastAsia="宋体" w:cs="Times New Roman"/>
      <w:szCs w:val="20"/>
    </w:rPr>
  </w:style>
  <w:style w:type="character" w:styleId="1039" w:customStyle="1">
    <w:name w:val="文档结构图 Char1"/>
    <w:link w:val="693"/>
    <w:uiPriority w:val="99"/>
    <w:semiHidden/>
    <w:qFormat/>
    <w:rPr>
      <w:rFonts w:ascii="宋体" w:hAnsi="Times New Roman" w:eastAsia="宋体" w:cs="Times New Roman"/>
      <w:sz w:val="18"/>
      <w:szCs w:val="18"/>
    </w:rPr>
  </w:style>
  <w:style w:type="character" w:styleId="1040" w:customStyle="1">
    <w:name w:val="正文文本缩进 Char1"/>
    <w:link w:val="693"/>
    <w:uiPriority w:val="99"/>
    <w:semiHidden/>
    <w:qFormat/>
    <w:rPr>
      <w:rFonts w:ascii="Times New Roman" w:hAnsi="Times New Roman" w:eastAsia="宋体" w:cs="Times New Roman"/>
      <w:szCs w:val="20"/>
    </w:rPr>
  </w:style>
  <w:style w:type="character" w:styleId="1041" w:customStyle="1">
    <w:name w:val="15"/>
    <w:link w:val="693"/>
    <w:uiPriority w:val="0"/>
    <w:qFormat/>
    <w:rPr>
      <w:rFonts w:ascii="Times New Roman" w:hAnsi="Times New Roman" w:cs="Times New Roman"/>
    </w:rPr>
  </w:style>
  <w:style w:type="character" w:styleId="1042" w:customStyle="1">
    <w:name w:val="正文文本缩进 2 Char1"/>
    <w:link w:val="693"/>
    <w:uiPriority w:val="99"/>
    <w:semiHidden/>
    <w:qFormat/>
    <w:rPr>
      <w:rFonts w:ascii="Times New Roman" w:hAnsi="Times New Roman" w:eastAsia="宋体" w:cs="Times New Roman"/>
      <w:szCs w:val="20"/>
    </w:rPr>
  </w:style>
  <w:style w:type="character" w:styleId="1043" w:customStyle="1">
    <w:name w:val="日期 Char1"/>
    <w:link w:val="693"/>
    <w:uiPriority w:val="99"/>
    <w:semiHidden/>
    <w:qFormat/>
    <w:rPr>
      <w:rFonts w:ascii="Times New Roman" w:hAnsi="Times New Roman" w:eastAsia="宋体" w:cs="Times New Roman"/>
      <w:szCs w:val="20"/>
    </w:rPr>
  </w:style>
  <w:style w:type="character" w:styleId="1044" w:customStyle="1">
    <w:name w:val="正文文本缩进 3 Char1"/>
    <w:link w:val="693"/>
    <w:uiPriority w:val="99"/>
    <w:semiHidden/>
    <w:qFormat/>
    <w:rPr>
      <w:rFonts w:ascii="Times New Roman" w:hAnsi="Times New Roman" w:eastAsia="宋体" w:cs="Times New Roman"/>
      <w:sz w:val="16"/>
      <w:szCs w:val="16"/>
    </w:rPr>
  </w:style>
  <w:style w:type="paragraph" w:styleId="1045">
    <w:name w:val="List Paragraph"/>
    <w:basedOn w:val="693"/>
    <w:uiPriority w:val="0"/>
    <w:qFormat/>
    <w:pPr>
      <w:ind w:firstLine="420"/>
    </w:pPr>
    <w:rPr>
      <w:szCs w:val="21"/>
    </w:rPr>
  </w:style>
  <w:style w:type="paragraph" w:styleId="1046" w:customStyle="1">
    <w:name w:val="普通文字"/>
    <w:basedOn w:val="693"/>
    <w:next w:val="693"/>
    <w:uiPriority w:val="0"/>
    <w:qFormat/>
    <w:rPr>
      <w:rFonts w:ascii="宋体"/>
      <w:sz w:val="24"/>
    </w:rPr>
  </w:style>
  <w:style w:type="paragraph" w:styleId="1047" w:customStyle="1">
    <w:name w:val="样式 小四 段前: 5 磅 段后: 5 磅 首行缩进:  2 字符"/>
    <w:basedOn w:val="693"/>
    <w:uiPriority w:val="0"/>
    <w:qFormat/>
    <w:pPr>
      <w:jc w:val="center"/>
      <w:spacing w:line="360" w:lineRule="auto"/>
    </w:pPr>
    <w:rPr>
      <w:rFonts w:ascii="宋体" w:hAnsi="宋体"/>
      <w:bCs/>
      <w:color w:val="ff0000"/>
      <w:sz w:val="24"/>
      <w:szCs w:val="24"/>
    </w:rPr>
  </w:style>
  <w:style w:type="paragraph" w:styleId="1048" w:customStyle="1">
    <w:name w:val="列出段落1"/>
    <w:basedOn w:val="693"/>
    <w:uiPriority w:val="0"/>
    <w:qFormat/>
    <w:pPr>
      <w:ind w:firstLine="420"/>
    </w:pPr>
    <w:rPr>
      <w:szCs w:val="24"/>
    </w:rPr>
  </w:style>
  <w:style w:type="paragraph" w:styleId="1049" w:customStyle="1">
    <w:name w:val="段"/>
    <w:next w:val="693"/>
    <w:uiPriority w:val="0"/>
    <w:qFormat/>
    <w:pPr>
      <w:ind w:firstLine="200"/>
      <w:jc w:val="both"/>
    </w:pPr>
    <w:rPr>
      <w:rFonts w:hint="default" w:ascii="宋体" w:hAnsi="Times New Roman" w:eastAsia="宋体" w:cs="Times New Roman"/>
      <w:sz w:val="21"/>
      <w:lang w:val="en-US" w:eastAsia="zh-CN" w:bidi="ar-SA"/>
    </w:rPr>
  </w:style>
  <w:style w:type="paragraph" w:styleId="105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52" w:customStyle="1">
    <w:name w:val="Other|1"/>
    <w:basedOn w:val="693"/>
    <w:uiPriority w:val="0"/>
    <w:qFormat/>
    <w:pPr>
      <w:ind w:firstLine="220"/>
    </w:pPr>
    <w:rPr>
      <w:rFonts w:ascii="宋体" w:hAnsi="宋体" w:cs="宋体"/>
      <w:sz w:val="20"/>
      <w:lang w:val="zh-TW" w:eastAsia="zh-TW" w:bidi="zh-TW"/>
    </w:rPr>
  </w:style>
  <w:style w:type="character" w:styleId="1053" w:customStyle="1">
    <w:name w:val="font11"/>
    <w:link w:val="693"/>
    <w:uiPriority w:val="0"/>
    <w:qFormat/>
    <w:rPr>
      <w:rFonts w:hint="eastAsia" w:ascii="宋体" w:hAnsi="宋体" w:eastAsia="宋体" w:cs="宋体"/>
      <w:color w:val="333333"/>
      <w:sz w:val="20"/>
      <w:szCs w:val="20"/>
      <w:u w:val="none"/>
    </w:rPr>
  </w:style>
  <w:style w:type="paragraph" w:styleId="1054" w:customStyle="1">
    <w:name w:val="纯文本1"/>
    <w:basedOn w:val="693"/>
    <w:uiPriority w:val="0"/>
    <w:qFormat/>
    <w:rPr>
      <w:rFonts w:ascii="宋体" w:hAnsi="Courier New" w:eastAsia="楷体_GB2312"/>
      <w:sz w:val="26"/>
    </w:rPr>
  </w:style>
  <w:style w:type="character" w:styleId="1055" w:customStyle="1">
    <w:name w:val="font21"/>
    <w:link w:val="693"/>
    <w:uiPriority w:val="0"/>
    <w:qFormat/>
    <w:rPr>
      <w:rFonts w:hint="eastAsia" w:ascii="宋体" w:hAnsi="宋体" w:eastAsia="宋体" w:cs="宋体"/>
      <w:color w:val="000000"/>
      <w:sz w:val="20"/>
      <w:szCs w:val="20"/>
      <w:u w:val="none"/>
    </w:rPr>
  </w:style>
  <w:style w:type="paragraph" w:styleId="1056" w:customStyle="1">
    <w:name w:val="列出段落2"/>
    <w:basedOn w:val="693"/>
    <w:uiPriority w:val="34"/>
    <w:qFormat/>
    <w:pPr>
      <w:ind w:firstLine="420"/>
    </w:pPr>
  </w:style>
  <w:style w:type="paragraph" w:styleId="1057" w:customStyle="1">
    <w:name w:val="正文文本2"/>
    <w:basedOn w:val="693"/>
    <w:next w:val="1058"/>
    <w:uiPriority w:val="0"/>
    <w:qFormat/>
    <w:rPr>
      <w:rFonts w:ascii="华文中宋" w:eastAsia="华文中宋"/>
      <w:bCs/>
      <w:sz w:val="28"/>
    </w:rPr>
  </w:style>
  <w:style w:type="paragraph" w:styleId="1058" w:customStyle="1">
    <w:name w:val="列表项目符号 51"/>
    <w:basedOn w:val="693"/>
    <w:uiPriority w:val="0"/>
    <w:qFormat/>
    <w:pPr>
      <w:ind w:left="2040" w:hanging="360"/>
      <w:spacing w:line="360" w:lineRule="exact"/>
      <w:widowControl/>
      <w:tabs>
        <w:tab w:val="left" w:pos="2040" w:leader="none"/>
      </w:tabs>
    </w:pPr>
    <w:rPr>
      <w:rFonts w:eastAsia="楷体_GB2312"/>
      <w:sz w:val="24"/>
    </w:rPr>
  </w:style>
  <w:style w:type="paragraph" w:styleId="1059" w:customStyle="1">
    <w:name w:val="页脚1"/>
    <w:basedOn w:val="693"/>
    <w:next w:val="693"/>
    <w:uiPriority w:val="99"/>
    <w:unhideWhenUsed/>
    <w:qFormat/>
    <w:pPr>
      <w:jc w:val="left"/>
      <w:tabs>
        <w:tab w:val="center" w:pos="4153" w:leader="none"/>
        <w:tab w:val="right" w:pos="8306" w:leader="none"/>
      </w:tabs>
    </w:pPr>
    <w:rPr>
      <w:sz w:val="18"/>
      <w:szCs w:val="18"/>
    </w:rPr>
  </w:style>
  <w:style w:type="paragraph" w:styleId="1060" w:customStyle="1">
    <w:name w:val="正文缩进11"/>
    <w:basedOn w:val="693"/>
    <w:uiPriority w:val="0"/>
    <w:qFormat/>
    <w:pPr>
      <w:ind w:firstLine="420"/>
    </w:pPr>
    <w:rPr>
      <w:szCs w:val="21"/>
    </w:rPr>
  </w:style>
  <w:style w:type="paragraph" w:styleId="1061" w:customStyle="1">
    <w:name w:val="列出段落3"/>
    <w:basedOn w:val="693"/>
    <w:uiPriority w:val="34"/>
    <w:qFormat/>
    <w:pPr>
      <w:ind w:firstLine="420"/>
    </w:pPr>
  </w:style>
  <w:style w:type="character" w:styleId="1062" w:customStyle="1">
    <w:name w:val="font151"/>
    <w:basedOn w:val="703"/>
    <w:uiPriority w:val="0"/>
    <w:qFormat/>
    <w:rPr>
      <w:rFonts w:ascii="方正仿宋_GBK" w:hAnsi="方正仿宋_GBK" w:eastAsia="方正仿宋_GBK" w:cs="方正仿宋_GBK"/>
      <w:b/>
      <w:bCs/>
      <w:color w:val="000000"/>
      <w:sz w:val="56"/>
      <w:szCs w:val="56"/>
      <w:u w:val="none"/>
    </w:rPr>
  </w:style>
  <w:style w:type="character" w:styleId="1063" w:customStyle="1">
    <w:name w:val="font51"/>
    <w:basedOn w:val="703"/>
    <w:uiPriority w:val="0"/>
    <w:qFormat/>
    <w:rPr>
      <w:rFonts w:hint="eastAsia" w:ascii="等线" w:hAnsi="等线" w:eastAsia="等线" w:cs="等线"/>
      <w:color w:val="000000"/>
      <w:sz w:val="44"/>
      <w:szCs w:val="44"/>
      <w:u w:val="none"/>
    </w:rPr>
  </w:style>
  <w:style w:type="character" w:styleId="1064" w:customStyle="1">
    <w:name w:val="font161"/>
    <w:basedOn w:val="703"/>
    <w:uiPriority w:val="0"/>
    <w:qFormat/>
    <w:rPr>
      <w:rFonts w:hint="eastAsia" w:ascii="等线" w:hAnsi="等线" w:eastAsia="等线" w:cs="等线"/>
      <w:b/>
      <w:bCs/>
      <w:color w:val="000000"/>
      <w:sz w:val="44"/>
      <w:szCs w:val="44"/>
      <w:u w:val="none"/>
    </w:rPr>
  </w:style>
  <w:style w:type="character" w:styleId="1065" w:customStyle="1">
    <w:name w:val="font61"/>
    <w:basedOn w:val="703"/>
    <w:uiPriority w:val="0"/>
    <w:qFormat/>
    <w:rPr>
      <w:rFonts w:hint="default" w:ascii="Times New Roman" w:hAnsi="Times New Roman" w:cs="Times New Roman"/>
      <w:color w:val="000000"/>
      <w:sz w:val="56"/>
      <w:szCs w:val="56"/>
      <w:u w:val="none"/>
    </w:rPr>
  </w:style>
  <w:style w:type="character" w:styleId="1066" w:customStyle="1">
    <w:name w:val="font171"/>
    <w:basedOn w:val="703"/>
    <w:uiPriority w:val="0"/>
    <w:qFormat/>
    <w:rPr>
      <w:rFonts w:hint="eastAsia" w:ascii="方正仿宋_GBK" w:hAnsi="方正仿宋_GBK" w:eastAsia="方正仿宋_GBK" w:cs="方正仿宋_GBK"/>
      <w:color w:val="000000"/>
      <w:sz w:val="56"/>
      <w:szCs w:val="56"/>
      <w:u w:val="none"/>
    </w:rPr>
  </w:style>
  <w:style w:type="character" w:styleId="1067" w:customStyle="1">
    <w:name w:val="font81"/>
    <w:basedOn w:val="703"/>
    <w:uiPriority w:val="0"/>
    <w:qFormat/>
    <w:rPr>
      <w:rFonts w:hint="eastAsia" w:ascii="等线" w:hAnsi="等线" w:eastAsia="等线" w:cs="等线"/>
      <w:b/>
      <w:bCs/>
      <w:color w:val="000000"/>
      <w:sz w:val="44"/>
      <w:szCs w:val="44"/>
      <w:u w:val="none"/>
    </w:rPr>
  </w:style>
  <w:style w:type="character" w:styleId="1068" w:customStyle="1">
    <w:name w:val="font91"/>
    <w:basedOn w:val="703"/>
    <w:uiPriority w:val="0"/>
    <w:qFormat/>
    <w:rPr>
      <w:rFonts w:hint="eastAsia" w:ascii="等线" w:hAnsi="等线" w:eastAsia="等线" w:cs="等线"/>
      <w:color w:val="000000"/>
      <w:sz w:val="44"/>
      <w:szCs w:val="44"/>
      <w:u w:val="none"/>
    </w:rPr>
  </w:style>
  <w:style w:type="character" w:styleId="1069" w:customStyle="1">
    <w:name w:val="font101"/>
    <w:basedOn w:val="703"/>
    <w:uiPriority w:val="0"/>
    <w:qFormat/>
    <w:rPr>
      <w:rFonts w:hint="eastAsia" w:ascii="等线" w:hAnsi="等线" w:eastAsia="等线" w:cs="等线"/>
      <w:color w:val="000000"/>
      <w:sz w:val="44"/>
      <w:szCs w:val="44"/>
      <w:u w:val="none"/>
    </w:rPr>
  </w:style>
  <w:style w:type="character" w:styleId="1070" w:customStyle="1">
    <w:name w:val="font181"/>
    <w:basedOn w:val="703"/>
    <w:uiPriority w:val="0"/>
    <w:qFormat/>
    <w:rPr>
      <w:rFonts w:hint="eastAsia" w:ascii="等线" w:hAnsi="等线" w:eastAsia="等线" w:cs="等线"/>
      <w:color w:val="000000"/>
      <w:sz w:val="44"/>
      <w:szCs w:val="44"/>
      <w:u w:val="none"/>
      <w:vertAlign w:val="subscript"/>
    </w:rPr>
  </w:style>
  <w:style w:type="character" w:styleId="1071" w:customStyle="1">
    <w:name w:val="font121"/>
    <w:basedOn w:val="703"/>
    <w:uiPriority w:val="0"/>
    <w:qFormat/>
    <w:rPr>
      <w:rFonts w:hint="default" w:ascii="Times New Roman" w:hAnsi="Times New Roman" w:cs="Times New Roman"/>
      <w:color w:val="000000"/>
      <w:sz w:val="56"/>
      <w:szCs w:val="56"/>
      <w:u w:val="none"/>
    </w:rPr>
  </w:style>
  <w:style w:type="character" w:styleId="1072" w:customStyle="1">
    <w:name w:val="font191"/>
    <w:basedOn w:val="703"/>
    <w:uiPriority w:val="0"/>
    <w:qFormat/>
    <w:rPr>
      <w:rFonts w:hint="eastAsia" w:ascii="方正仿宋_GBK" w:hAnsi="方正仿宋_GBK" w:eastAsia="方正仿宋_GBK" w:cs="方正仿宋_GBK"/>
      <w:color w:val="000000"/>
      <w:sz w:val="56"/>
      <w:szCs w:val="56"/>
      <w:u w:val="none"/>
    </w:rPr>
  </w:style>
  <w:style w:type="character" w:styleId="1073" w:customStyle="1">
    <w:name w:val="font112"/>
    <w:basedOn w:val="703"/>
    <w:uiPriority w:val="0"/>
    <w:qFormat/>
    <w:rPr>
      <w:rFonts w:hint="eastAsia" w:ascii="宋体" w:hAnsi="宋体" w:eastAsia="宋体" w:cs="宋体"/>
      <w:color w:val="000000"/>
      <w:sz w:val="56"/>
      <w:szCs w:val="56"/>
      <w:u w:val="none"/>
    </w:rPr>
  </w:style>
  <w:style w:type="character" w:styleId="1074" w:customStyle="1">
    <w:name w:val="font41"/>
    <w:basedOn w:val="703"/>
    <w:uiPriority w:val="0"/>
    <w:qFormat/>
    <w:rPr>
      <w:rFonts w:hint="default" w:ascii="方正黑体_GBK" w:hAnsi="方正黑体_GBK" w:eastAsia="方正黑体_GBK" w:cs="方正黑体_GBK"/>
      <w:color w:val="000000"/>
      <w:sz w:val="48"/>
      <w:szCs w:val="48"/>
      <w:u w:val="none"/>
    </w:rPr>
  </w:style>
  <w:style w:type="character" w:styleId="1075" w:customStyle="1">
    <w:name w:val="font201"/>
    <w:basedOn w:val="703"/>
    <w:uiPriority w:val="0"/>
    <w:qFormat/>
    <w:rPr>
      <w:rFonts w:hint="default" w:ascii="方正黑体_GBK" w:hAnsi="方正黑体_GBK" w:eastAsia="方正黑体_GBK" w:cs="方正黑体_GBK"/>
      <w:color w:val="000000"/>
      <w:sz w:val="48"/>
      <w:szCs w:val="48"/>
      <w:u w:val="none"/>
      <w:vertAlign w:val="subscript"/>
    </w:rPr>
  </w:style>
  <w:style w:type="character" w:styleId="1076" w:customStyle="1">
    <w:name w:val="font211"/>
    <w:basedOn w:val="703"/>
    <w:uiPriority w:val="0"/>
    <w:qFormat/>
    <w:rPr>
      <w:rFonts w:hint="default" w:ascii="方正黑体_GBK" w:hAnsi="方正黑体_GBK" w:eastAsia="方正黑体_GBK" w:cs="方正黑体_GBK"/>
      <w:color w:val="000000"/>
      <w:sz w:val="48"/>
      <w:szCs w:val="48"/>
      <w:u w:val="none"/>
    </w:rPr>
  </w:style>
  <w:style w:type="character" w:styleId="1077" w:customStyle="1">
    <w:name w:val="font131"/>
    <w:basedOn w:val="703"/>
    <w:uiPriority w:val="0"/>
    <w:qFormat/>
    <w:rPr>
      <w:rFonts w:hint="eastAsia" w:ascii="等线" w:hAnsi="等线" w:eastAsia="等线" w:cs="等线"/>
      <w:b/>
      <w:bCs/>
      <w:color w:val="000000"/>
      <w:sz w:val="44"/>
      <w:szCs w:val="44"/>
      <w:u w:val="none"/>
    </w:rPr>
  </w:style>
  <w:style w:type="character" w:styleId="1078" w:customStyle="1">
    <w:name w:val="font141"/>
    <w:basedOn w:val="703"/>
    <w:uiPriority w:val="0"/>
    <w:qFormat/>
    <w:rPr>
      <w:rFonts w:hint="default" w:ascii="Times New Roman" w:hAnsi="Times New Roman" w:cs="Times New Roman"/>
      <w:color w:val="0d0d0d"/>
      <w:sz w:val="56"/>
      <w:szCs w:val="56"/>
      <w:u w:val="none"/>
    </w:rPr>
  </w:style>
  <w:style w:type="character" w:styleId="1079" w:customStyle="1">
    <w:name w:val="font222"/>
    <w:basedOn w:val="703"/>
    <w:uiPriority w:val="0"/>
    <w:qFormat/>
    <w:rPr>
      <w:rFonts w:hint="eastAsia" w:ascii="方正仿宋_GBK" w:hAnsi="方正仿宋_GBK" w:eastAsia="方正仿宋_GBK" w:cs="方正仿宋_GBK"/>
      <w:color w:val="0d0d0d"/>
      <w:sz w:val="56"/>
      <w:szCs w:val="56"/>
      <w:u w:val="none"/>
    </w:rPr>
  </w:style>
  <w:style w:type="character" w:styleId="1080" w:customStyle="1">
    <w:name w:val="font231"/>
    <w:basedOn w:val="703"/>
    <w:uiPriority w:val="0"/>
    <w:qFormat/>
    <w:rPr>
      <w:rFonts w:hint="eastAsia" w:ascii="宋体" w:hAnsi="宋体" w:eastAsia="宋体" w:cs="宋体"/>
      <w:color w:val="000000"/>
      <w:sz w:val="56"/>
      <w:szCs w:val="56"/>
      <w:u w:val="none"/>
    </w:rPr>
  </w:style>
  <w:style w:type="character" w:styleId="1081" w:customStyle="1">
    <w:name w:val="font31"/>
    <w:basedOn w:val="703"/>
    <w:uiPriority w:val="0"/>
    <w:qFormat/>
    <w:rPr>
      <w:rFonts w:ascii="宋体-简" w:hAnsi="宋体-简" w:eastAsia="宋体-简" w:cs="宋体-简"/>
      <w:color w:val="000000"/>
      <w:sz w:val="56"/>
      <w:szCs w:val="56"/>
      <w:u w:val="none"/>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吴雨洁</cp:lastModifiedBy>
  <cp:revision>3</cp:revision>
  <dcterms:created xsi:type="dcterms:W3CDTF">2024-06-04T16:57:00Z</dcterms:created>
  <dcterms:modified xsi:type="dcterms:W3CDTF">2026-06-02T09:23:25Z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2052-12.1.0.26375</vt:lpwstr>
  </property>
  <property fmtid="{D5CDD505-2E9C-101B-9397-08002B2CF9AE}" pid="4" name="ICV">
    <vt:lpwstr>1FA45F748BFE40338C2733393EB08AFE_13</vt:lpwstr>
  </property>
</Properties>
</file>